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048" w:rsidRPr="002A6C29" w:rsidRDefault="00457048" w:rsidP="00C06A05">
      <w:pPr>
        <w:pStyle w:val="01StandardTitle"/>
        <w:spacing w:line="240" w:lineRule="auto"/>
        <w:jc w:val="center"/>
        <w:rPr>
          <w:rFonts w:ascii="Lato" w:hAnsi="Lato" w:cs="Tahoma"/>
          <w:color w:val="auto"/>
        </w:rPr>
      </w:pPr>
      <w:bookmarkStart w:id="0" w:name="_GoBack"/>
      <w:bookmarkEnd w:id="0"/>
    </w:p>
    <w:p w:rsidR="00457048" w:rsidRPr="002A6C29" w:rsidRDefault="00457048" w:rsidP="00457048">
      <w:pPr>
        <w:spacing w:line="276" w:lineRule="auto"/>
        <w:rPr>
          <w:rFonts w:ascii="Lato" w:hAnsi="Lato"/>
          <w:b/>
          <w:sz w:val="28"/>
          <w:szCs w:val="28"/>
        </w:rPr>
      </w:pPr>
    </w:p>
    <w:p w:rsidR="00457048" w:rsidRPr="0040071D" w:rsidRDefault="0040071D" w:rsidP="0040071D">
      <w:pPr>
        <w:pStyle w:val="01StandardTitle"/>
        <w:spacing w:line="240" w:lineRule="auto"/>
        <w:jc w:val="center"/>
        <w:rPr>
          <w:rFonts w:ascii="Lato" w:hAnsi="Lato" w:cs="Tahoma"/>
          <w:color w:val="auto"/>
        </w:rPr>
      </w:pPr>
      <w:r>
        <w:rPr>
          <w:rFonts w:ascii="Lato" w:hAnsi="Lato" w:cs="Tahoma"/>
          <w:noProof/>
          <w:color w:val="auto"/>
        </w:rPr>
        <w:drawing>
          <wp:inline distT="0" distB="0" distL="0" distR="0" wp14:anchorId="0283412F" wp14:editId="0068667E">
            <wp:extent cx="3279775" cy="2188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9775" cy="2188845"/>
                    </a:xfrm>
                    <a:prstGeom prst="rect">
                      <a:avLst/>
                    </a:prstGeom>
                    <a:noFill/>
                  </pic:spPr>
                </pic:pic>
              </a:graphicData>
            </a:graphic>
          </wp:inline>
        </w:drawing>
      </w:r>
    </w:p>
    <w:p w:rsidR="00457048" w:rsidRPr="00294B18" w:rsidRDefault="00AB5ACD" w:rsidP="002A6C29">
      <w:pPr>
        <w:pStyle w:val="01StandardTitle"/>
        <w:spacing w:line="240" w:lineRule="auto"/>
        <w:jc w:val="center"/>
        <w:rPr>
          <w:rFonts w:ascii="Lato" w:hAnsi="Lato" w:cs="Tahoma"/>
          <w:color w:val="auto"/>
          <w:sz w:val="36"/>
        </w:rPr>
      </w:pPr>
      <w:r w:rsidRPr="00294B18">
        <w:rPr>
          <w:rFonts w:ascii="Lato" w:hAnsi="Lato" w:cs="Tahoma"/>
          <w:color w:val="auto"/>
          <w:sz w:val="36"/>
        </w:rPr>
        <w:t>PILLAR 3 AND BIPRU REMUNERATION DISCLOSURES</w:t>
      </w:r>
    </w:p>
    <w:p w:rsidR="00457048" w:rsidRPr="002A6C29" w:rsidRDefault="00457048" w:rsidP="00C06A05">
      <w:pPr>
        <w:pStyle w:val="01StandardTitle"/>
        <w:spacing w:line="240" w:lineRule="auto"/>
        <w:jc w:val="center"/>
        <w:rPr>
          <w:rFonts w:ascii="Lato" w:hAnsi="Lato" w:cs="Tahoma"/>
          <w:color w:val="auto"/>
        </w:rPr>
      </w:pPr>
    </w:p>
    <w:p w:rsidR="00457048" w:rsidRPr="002A6C29" w:rsidRDefault="00457048" w:rsidP="00C06A05">
      <w:pPr>
        <w:pStyle w:val="01StandardTitle"/>
        <w:spacing w:line="240" w:lineRule="auto"/>
        <w:jc w:val="center"/>
        <w:rPr>
          <w:rFonts w:ascii="Lato" w:hAnsi="Lato" w:cs="Tahoma"/>
          <w:color w:val="auto"/>
        </w:rPr>
      </w:pPr>
    </w:p>
    <w:p w:rsidR="00457048" w:rsidRPr="002A6C29" w:rsidRDefault="00457048" w:rsidP="00C06A05">
      <w:pPr>
        <w:pStyle w:val="01StandardTitle"/>
        <w:spacing w:line="240" w:lineRule="auto"/>
        <w:jc w:val="center"/>
        <w:rPr>
          <w:rFonts w:ascii="Lato" w:hAnsi="Lato" w:cs="Tahoma"/>
          <w:color w:val="auto"/>
        </w:rPr>
      </w:pPr>
    </w:p>
    <w:p w:rsidR="00457048" w:rsidRPr="002A6C29" w:rsidRDefault="00457048" w:rsidP="00C06A05">
      <w:pPr>
        <w:pStyle w:val="01StandardTitle"/>
        <w:spacing w:line="240" w:lineRule="auto"/>
        <w:jc w:val="center"/>
        <w:rPr>
          <w:rFonts w:ascii="Lato" w:hAnsi="Lato" w:cs="Tahoma"/>
          <w:color w:val="auto"/>
        </w:rPr>
      </w:pPr>
    </w:p>
    <w:p w:rsidR="00457048" w:rsidRPr="002A6C29" w:rsidRDefault="00457048" w:rsidP="00C06A05">
      <w:pPr>
        <w:pStyle w:val="01StandardTitle"/>
        <w:spacing w:line="240" w:lineRule="auto"/>
        <w:jc w:val="center"/>
        <w:rPr>
          <w:rFonts w:ascii="Lato" w:hAnsi="Lato" w:cs="Tahoma"/>
          <w:color w:val="auto"/>
        </w:rPr>
      </w:pPr>
    </w:p>
    <w:p w:rsidR="00457048" w:rsidRPr="002A6C29" w:rsidRDefault="00457048" w:rsidP="00C06A05">
      <w:pPr>
        <w:pStyle w:val="01StandardTitle"/>
        <w:spacing w:line="240" w:lineRule="auto"/>
        <w:jc w:val="center"/>
        <w:rPr>
          <w:rFonts w:ascii="Lato" w:hAnsi="Lato" w:cs="Tahoma"/>
          <w:color w:val="auto"/>
        </w:rPr>
      </w:pPr>
    </w:p>
    <w:p w:rsidR="00457048" w:rsidRPr="002A6C29" w:rsidRDefault="00457048" w:rsidP="00C06A05">
      <w:pPr>
        <w:pStyle w:val="01StandardTitle"/>
        <w:spacing w:line="240" w:lineRule="auto"/>
        <w:jc w:val="center"/>
        <w:rPr>
          <w:rFonts w:ascii="Lato" w:hAnsi="Lato" w:cs="Tahoma"/>
          <w:color w:val="auto"/>
        </w:rPr>
      </w:pPr>
    </w:p>
    <w:p w:rsidR="0040071D" w:rsidRDefault="0040071D" w:rsidP="002A6C29">
      <w:pPr>
        <w:rPr>
          <w:rFonts w:ascii="Lato" w:eastAsia="Calibri" w:hAnsi="Lato" w:cs="Tahoma"/>
          <w:b/>
          <w:sz w:val="40"/>
          <w:szCs w:val="40"/>
        </w:rPr>
      </w:pPr>
    </w:p>
    <w:p w:rsidR="00444408" w:rsidRDefault="00444408" w:rsidP="002A6C29">
      <w:pPr>
        <w:rPr>
          <w:rFonts w:ascii="Lato" w:eastAsia="Calibri" w:hAnsi="Lato" w:cs="Tahoma"/>
          <w:b/>
          <w:sz w:val="40"/>
          <w:szCs w:val="40"/>
        </w:rPr>
      </w:pPr>
    </w:p>
    <w:p w:rsidR="00444408" w:rsidRDefault="00444408" w:rsidP="002A6C29">
      <w:pPr>
        <w:rPr>
          <w:rFonts w:ascii="Lato" w:eastAsia="Calibri" w:hAnsi="Lato" w:cs="Tahoma"/>
          <w:b/>
          <w:sz w:val="40"/>
          <w:szCs w:val="40"/>
        </w:rPr>
      </w:pPr>
    </w:p>
    <w:p w:rsidR="0040071D" w:rsidRDefault="0040071D" w:rsidP="002A6C29">
      <w:pPr>
        <w:rPr>
          <w:rFonts w:ascii="Playfair Display" w:hAnsi="Playfair Display" w:cs="Tahoma"/>
          <w:b/>
          <w:bCs/>
          <w:sz w:val="22"/>
          <w:szCs w:val="22"/>
          <w:lang w:val="en" w:eastAsia="en-GB"/>
        </w:rPr>
      </w:pPr>
    </w:p>
    <w:p w:rsidR="0040071D" w:rsidRDefault="0040071D" w:rsidP="002A6C29">
      <w:pPr>
        <w:rPr>
          <w:rFonts w:ascii="Playfair Display" w:hAnsi="Playfair Display" w:cs="Tahoma"/>
          <w:b/>
          <w:bCs/>
          <w:sz w:val="22"/>
          <w:szCs w:val="22"/>
          <w:lang w:val="en" w:eastAsia="en-GB"/>
        </w:rPr>
      </w:pPr>
    </w:p>
    <w:p w:rsidR="008451DB" w:rsidRPr="002A6C29" w:rsidRDefault="008451DB" w:rsidP="002A6C29">
      <w:pPr>
        <w:rPr>
          <w:rFonts w:ascii="Playfair Display" w:hAnsi="Playfair Display" w:cs="Tahoma"/>
          <w:b/>
          <w:bCs/>
          <w:sz w:val="22"/>
          <w:szCs w:val="22"/>
          <w:lang w:val="en" w:eastAsia="en-GB"/>
        </w:rPr>
      </w:pPr>
      <w:r w:rsidRPr="002A6C29">
        <w:rPr>
          <w:rFonts w:ascii="Playfair Display" w:hAnsi="Playfair Display" w:cs="Tahoma"/>
          <w:b/>
          <w:bCs/>
          <w:sz w:val="22"/>
          <w:szCs w:val="22"/>
          <w:lang w:val="en" w:eastAsia="en-GB"/>
        </w:rPr>
        <w:lastRenderedPageBreak/>
        <w:t>Pillar 3 and BIPRU Remuneration Disclosures</w:t>
      </w:r>
    </w:p>
    <w:p w:rsidR="008451DB" w:rsidRPr="002A6C29" w:rsidRDefault="008451DB" w:rsidP="002A6C29">
      <w:pPr>
        <w:rPr>
          <w:rFonts w:ascii="Playfair Display" w:hAnsi="Playfair Display" w:cs="Tahoma"/>
          <w:b/>
          <w:sz w:val="22"/>
          <w:szCs w:val="22"/>
          <w:lang w:val="en" w:eastAsia="en-GB"/>
        </w:rPr>
      </w:pPr>
      <w:r w:rsidRPr="002A6C29">
        <w:rPr>
          <w:rFonts w:ascii="Playfair Display" w:hAnsi="Playfair Display" w:cs="Tahoma"/>
          <w:sz w:val="22"/>
          <w:szCs w:val="22"/>
          <w:lang w:val="en" w:eastAsia="en-GB"/>
        </w:rPr>
        <w:br/>
      </w:r>
      <w:r w:rsidRPr="002A6C29">
        <w:rPr>
          <w:rFonts w:ascii="Playfair Display" w:hAnsi="Playfair Display" w:cs="Tahoma"/>
          <w:b/>
          <w:sz w:val="22"/>
          <w:szCs w:val="22"/>
          <w:lang w:val="en" w:eastAsia="en-GB"/>
        </w:rPr>
        <w:t>Background</w:t>
      </w:r>
    </w:p>
    <w:p w:rsidR="008451DB" w:rsidRPr="002A6C29" w:rsidRDefault="008451DB" w:rsidP="002A6C29">
      <w:pPr>
        <w:rPr>
          <w:rFonts w:ascii="Lato" w:hAnsi="Lato" w:cs="Tahoma"/>
          <w:sz w:val="22"/>
          <w:szCs w:val="22"/>
          <w:lang w:val="en" w:eastAsia="en-GB"/>
        </w:rPr>
      </w:pPr>
      <w:r w:rsidRPr="002A6C29">
        <w:rPr>
          <w:rFonts w:ascii="Lato" w:hAnsi="Lato" w:cs="Tahoma"/>
          <w:sz w:val="22"/>
          <w:szCs w:val="22"/>
          <w:lang w:val="en" w:eastAsia="en-GB"/>
        </w:rPr>
        <w:t xml:space="preserve">This is the Pillar 3 disclosure made in accordance with the UK Financial Conduct Authority (FCA) Prudential Sourcebook for Banks, Building Societies and Investment Firms (‘BIPRU’). </w:t>
      </w:r>
    </w:p>
    <w:p w:rsidR="008451DB" w:rsidRPr="002A6C29" w:rsidRDefault="008451DB" w:rsidP="002A6C29">
      <w:pPr>
        <w:rPr>
          <w:rFonts w:ascii="Lato" w:hAnsi="Lato" w:cs="Tahoma"/>
          <w:sz w:val="22"/>
          <w:szCs w:val="22"/>
          <w:lang w:val="en" w:eastAsia="en-GB"/>
        </w:rPr>
      </w:pPr>
    </w:p>
    <w:p w:rsidR="008451DB" w:rsidRPr="002A6C29" w:rsidRDefault="008451DB" w:rsidP="002A6C29">
      <w:pPr>
        <w:rPr>
          <w:rFonts w:ascii="Lato" w:hAnsi="Lato" w:cs="Tahoma"/>
          <w:sz w:val="22"/>
          <w:szCs w:val="22"/>
          <w:lang w:val="en" w:eastAsia="en-GB"/>
        </w:rPr>
      </w:pPr>
      <w:r w:rsidRPr="002A6C29">
        <w:rPr>
          <w:rFonts w:ascii="Lato" w:hAnsi="Lato" w:cs="Tahoma"/>
          <w:sz w:val="22"/>
          <w:szCs w:val="22"/>
          <w:lang w:val="en" w:eastAsia="en-GB"/>
        </w:rPr>
        <w:t>The European Capital Requirements Directive (CRD) created a regulatory capital framework consisting of three ‘pillars’ namely;</w:t>
      </w:r>
    </w:p>
    <w:p w:rsidR="008451DB" w:rsidRPr="002A6C29" w:rsidRDefault="008451DB" w:rsidP="002A6C29">
      <w:pPr>
        <w:rPr>
          <w:rFonts w:ascii="Lato" w:hAnsi="Lato" w:cs="Tahoma"/>
          <w:sz w:val="22"/>
          <w:szCs w:val="22"/>
          <w:lang w:val="en" w:eastAsia="en-GB"/>
        </w:rPr>
      </w:pPr>
    </w:p>
    <w:p w:rsidR="008451DB" w:rsidRPr="002A6C29" w:rsidRDefault="008451DB" w:rsidP="002A6C29">
      <w:pPr>
        <w:ind w:left="720" w:hanging="720"/>
        <w:rPr>
          <w:rFonts w:ascii="Lato" w:hAnsi="Lato" w:cs="Tahoma"/>
          <w:sz w:val="22"/>
          <w:szCs w:val="22"/>
          <w:lang w:val="en" w:eastAsia="en-GB"/>
        </w:rPr>
      </w:pPr>
      <w:r w:rsidRPr="002A6C29">
        <w:rPr>
          <w:rFonts w:ascii="Lato" w:hAnsi="Lato" w:cs="Tahoma"/>
          <w:sz w:val="22"/>
          <w:szCs w:val="22"/>
          <w:lang w:val="en" w:eastAsia="en-GB"/>
        </w:rPr>
        <w:t>•</w:t>
      </w:r>
      <w:r w:rsidRPr="002A6C29">
        <w:rPr>
          <w:rFonts w:ascii="Lato" w:hAnsi="Lato" w:cs="Tahoma"/>
          <w:sz w:val="22"/>
          <w:szCs w:val="22"/>
          <w:lang w:val="en" w:eastAsia="en-GB"/>
        </w:rPr>
        <w:tab/>
        <w:t>Pillar 1 – which sets out the minimum capital requirements that firms are required to meet for;</w:t>
      </w:r>
    </w:p>
    <w:p w:rsidR="008451DB" w:rsidRPr="002A6C29" w:rsidRDefault="008451DB" w:rsidP="002A6C29">
      <w:pPr>
        <w:ind w:left="720" w:hanging="720"/>
        <w:rPr>
          <w:rFonts w:ascii="Lato" w:hAnsi="Lato" w:cs="Tahoma"/>
          <w:sz w:val="22"/>
          <w:szCs w:val="22"/>
          <w:lang w:val="en" w:eastAsia="en-GB"/>
        </w:rPr>
      </w:pPr>
    </w:p>
    <w:p w:rsidR="008451DB" w:rsidRPr="002A6C29" w:rsidRDefault="008451DB" w:rsidP="002A6C29">
      <w:pPr>
        <w:ind w:left="720" w:hanging="720"/>
        <w:rPr>
          <w:rFonts w:ascii="Lato" w:hAnsi="Lato" w:cs="Tahoma"/>
          <w:sz w:val="22"/>
          <w:szCs w:val="22"/>
          <w:lang w:val="en" w:eastAsia="en-GB"/>
        </w:rPr>
      </w:pPr>
      <w:r w:rsidRPr="002A6C29">
        <w:rPr>
          <w:rFonts w:ascii="Lato" w:hAnsi="Lato" w:cs="Tahoma"/>
          <w:sz w:val="22"/>
          <w:szCs w:val="22"/>
          <w:lang w:val="en" w:eastAsia="en-GB"/>
        </w:rPr>
        <w:t>•</w:t>
      </w:r>
      <w:r w:rsidRPr="002A6C29">
        <w:rPr>
          <w:rFonts w:ascii="Lato" w:hAnsi="Lato" w:cs="Tahoma"/>
          <w:sz w:val="22"/>
          <w:szCs w:val="22"/>
          <w:lang w:val="en" w:eastAsia="en-GB"/>
        </w:rPr>
        <w:tab/>
        <w:t>Pillar 2 – which requires firms to take a view on whether additional capital should be held against capital risks not covered by Pillar 1; and</w:t>
      </w:r>
    </w:p>
    <w:p w:rsidR="008451DB" w:rsidRPr="002A6C29" w:rsidRDefault="008451DB" w:rsidP="002A6C29">
      <w:pPr>
        <w:ind w:left="720" w:hanging="720"/>
        <w:rPr>
          <w:rFonts w:ascii="Lato" w:hAnsi="Lato" w:cs="Tahoma"/>
          <w:sz w:val="22"/>
          <w:szCs w:val="22"/>
          <w:lang w:val="en" w:eastAsia="en-GB"/>
        </w:rPr>
      </w:pPr>
    </w:p>
    <w:p w:rsidR="008451DB" w:rsidRPr="002A6C29" w:rsidRDefault="008451DB" w:rsidP="002A6C29">
      <w:pPr>
        <w:ind w:left="720" w:hanging="720"/>
        <w:rPr>
          <w:rFonts w:ascii="Lato" w:hAnsi="Lato" w:cs="Tahoma"/>
          <w:sz w:val="22"/>
          <w:szCs w:val="22"/>
          <w:lang w:val="en" w:eastAsia="en-GB"/>
        </w:rPr>
      </w:pPr>
      <w:r w:rsidRPr="002A6C29">
        <w:rPr>
          <w:rFonts w:ascii="Lato" w:hAnsi="Lato" w:cs="Tahoma"/>
          <w:sz w:val="22"/>
          <w:szCs w:val="22"/>
          <w:lang w:val="en" w:eastAsia="en-GB"/>
        </w:rPr>
        <w:t>•</w:t>
      </w:r>
      <w:r w:rsidRPr="002A6C29">
        <w:rPr>
          <w:rFonts w:ascii="Lato" w:hAnsi="Lato" w:cs="Tahoma"/>
          <w:sz w:val="22"/>
          <w:szCs w:val="22"/>
          <w:lang w:val="en" w:eastAsia="en-GB"/>
        </w:rPr>
        <w:tab/>
        <w:t>Pillar 3 - which requires firms to publish certain details of its risks, capital and risk management process.</w:t>
      </w:r>
    </w:p>
    <w:p w:rsidR="008451DB" w:rsidRPr="002A6C29" w:rsidRDefault="008451DB" w:rsidP="002A6C29">
      <w:pPr>
        <w:ind w:left="720" w:hanging="720"/>
        <w:rPr>
          <w:rFonts w:ascii="Lato" w:hAnsi="Lato" w:cs="Tahoma"/>
          <w:sz w:val="22"/>
          <w:szCs w:val="22"/>
          <w:lang w:val="en" w:eastAsia="en-GB"/>
        </w:rPr>
      </w:pPr>
    </w:p>
    <w:p w:rsidR="008451DB" w:rsidRPr="002A6C29" w:rsidRDefault="008451DB" w:rsidP="002A6C29">
      <w:pPr>
        <w:rPr>
          <w:rFonts w:ascii="Playfair Display" w:hAnsi="Playfair Display" w:cs="Tahoma"/>
          <w:b/>
          <w:sz w:val="22"/>
          <w:szCs w:val="22"/>
          <w:lang w:val="en" w:eastAsia="en-GB"/>
        </w:rPr>
      </w:pPr>
      <w:r w:rsidRPr="002A6C29">
        <w:rPr>
          <w:rFonts w:ascii="Playfair Display" w:hAnsi="Playfair Display" w:cs="Tahoma"/>
          <w:b/>
          <w:sz w:val="22"/>
          <w:szCs w:val="22"/>
          <w:lang w:val="en" w:eastAsia="en-GB"/>
        </w:rPr>
        <w:t xml:space="preserve">Company Background </w:t>
      </w:r>
    </w:p>
    <w:p w:rsidR="008451DB" w:rsidRPr="002A6C29" w:rsidRDefault="008451DB" w:rsidP="002A6C29">
      <w:pPr>
        <w:rPr>
          <w:rFonts w:ascii="Lato" w:hAnsi="Lato" w:cs="Tahoma"/>
          <w:sz w:val="22"/>
          <w:szCs w:val="22"/>
          <w:lang w:val="en" w:eastAsia="en-GB"/>
        </w:rPr>
      </w:pPr>
      <w:r w:rsidRPr="002A6C29">
        <w:rPr>
          <w:rFonts w:ascii="Lato" w:hAnsi="Lato" w:cs="Tahoma"/>
          <w:sz w:val="22"/>
          <w:szCs w:val="22"/>
          <w:lang w:val="en" w:eastAsia="en-GB"/>
        </w:rPr>
        <w:t xml:space="preserve">The disclosures made here are in respect of Thorntons Investment Management Limited a company which is incorporated in Scotland and is </w:t>
      </w:r>
      <w:proofErr w:type="spellStart"/>
      <w:r w:rsidRPr="002A6C29">
        <w:rPr>
          <w:rFonts w:ascii="Lato" w:hAnsi="Lato" w:cs="Tahoma"/>
          <w:sz w:val="22"/>
          <w:szCs w:val="22"/>
          <w:lang w:val="en" w:eastAsia="en-GB"/>
        </w:rPr>
        <w:t>authorised</w:t>
      </w:r>
      <w:proofErr w:type="spellEnd"/>
      <w:r w:rsidRPr="002A6C29">
        <w:rPr>
          <w:rFonts w:ascii="Lato" w:hAnsi="Lato" w:cs="Tahoma"/>
          <w:sz w:val="22"/>
          <w:szCs w:val="22"/>
          <w:lang w:val="en" w:eastAsia="en-GB"/>
        </w:rPr>
        <w:t xml:space="preserve"> and regulated by the FCA to provide financial advice and discretionary investment management services.    The firm has been allocated a regulation category “BIPRU €50k firm”.  </w:t>
      </w:r>
    </w:p>
    <w:p w:rsidR="008451DB" w:rsidRPr="002A6C29" w:rsidRDefault="008451DB" w:rsidP="002A6C29">
      <w:pPr>
        <w:rPr>
          <w:rFonts w:ascii="Lato" w:hAnsi="Lato" w:cs="Tahoma"/>
          <w:sz w:val="22"/>
          <w:szCs w:val="22"/>
          <w:lang w:val="en" w:eastAsia="en-GB"/>
        </w:rPr>
      </w:pPr>
    </w:p>
    <w:p w:rsidR="006B24EB" w:rsidRPr="002A6C29" w:rsidRDefault="008451DB" w:rsidP="002A6C29">
      <w:pPr>
        <w:rPr>
          <w:rFonts w:ascii="Lato" w:hAnsi="Lato" w:cs="Tahoma"/>
          <w:sz w:val="22"/>
          <w:szCs w:val="22"/>
          <w:lang w:val="en" w:eastAsia="en-GB"/>
        </w:rPr>
      </w:pPr>
      <w:r w:rsidRPr="002A6C29">
        <w:rPr>
          <w:rFonts w:ascii="Lato" w:hAnsi="Lato" w:cs="Tahoma"/>
          <w:sz w:val="22"/>
          <w:szCs w:val="22"/>
          <w:lang w:val="en" w:eastAsia="en-GB"/>
        </w:rPr>
        <w:t xml:space="preserve">The Pillar 3 disclosure of Thorntons Investment Management Ltd (“the firm”) is set out below.   </w:t>
      </w:r>
    </w:p>
    <w:p w:rsidR="00E714CE" w:rsidRPr="002A6C29" w:rsidRDefault="00E714CE" w:rsidP="002A6C29">
      <w:pPr>
        <w:rPr>
          <w:rFonts w:ascii="Playfair Display" w:hAnsi="Playfair Display" w:cs="Tahoma"/>
          <w:b/>
          <w:bCs/>
          <w:sz w:val="22"/>
          <w:szCs w:val="22"/>
          <w:u w:val="single"/>
          <w:lang w:val="en" w:eastAsia="en-GB"/>
        </w:rPr>
      </w:pPr>
    </w:p>
    <w:p w:rsidR="006B24EB" w:rsidRPr="002A6C29" w:rsidRDefault="006B24EB" w:rsidP="002A6C29">
      <w:pPr>
        <w:rPr>
          <w:rFonts w:ascii="Playfair Display" w:hAnsi="Playfair Display" w:cs="Tahoma"/>
          <w:b/>
          <w:bCs/>
          <w:sz w:val="22"/>
          <w:szCs w:val="22"/>
          <w:lang w:val="en" w:eastAsia="en-GB"/>
        </w:rPr>
      </w:pPr>
      <w:r w:rsidRPr="002A6C29">
        <w:rPr>
          <w:rFonts w:ascii="Playfair Display" w:hAnsi="Playfair Display" w:cs="Tahoma"/>
          <w:b/>
          <w:sz w:val="22"/>
          <w:szCs w:val="22"/>
          <w:lang w:val="en" w:eastAsia="en-GB"/>
        </w:rPr>
        <w:t>Disclosure Policy</w:t>
      </w:r>
    </w:p>
    <w:p w:rsidR="008451DB" w:rsidRPr="002A6C29" w:rsidRDefault="008451DB" w:rsidP="002A6C29">
      <w:pPr>
        <w:rPr>
          <w:rFonts w:ascii="Lato" w:hAnsi="Lato" w:cs="Tahoma"/>
          <w:sz w:val="22"/>
          <w:szCs w:val="22"/>
          <w:lang w:val="en" w:eastAsia="en-GB"/>
        </w:rPr>
      </w:pPr>
      <w:r w:rsidRPr="002A6C29">
        <w:rPr>
          <w:rFonts w:ascii="Lato" w:hAnsi="Lato" w:cs="Tahoma"/>
          <w:sz w:val="22"/>
          <w:szCs w:val="22"/>
          <w:lang w:val="en" w:eastAsia="en-GB"/>
        </w:rPr>
        <w:t xml:space="preserve">The rules in BIPRU 11 provide that the firm may omit one or more of the required disclosures if it believes that the information is immaterial. Materiality is based on the criteria that the omission or misstatement of material information would be likely to change or influence the assessment or decision of a user relying on that information for the purposes of making economic decisions. </w:t>
      </w:r>
    </w:p>
    <w:p w:rsidR="008451DB" w:rsidRPr="002A6C29" w:rsidRDefault="008451DB" w:rsidP="002A6C29">
      <w:pPr>
        <w:rPr>
          <w:rFonts w:ascii="Lato" w:hAnsi="Lato" w:cs="Tahoma"/>
          <w:sz w:val="22"/>
          <w:szCs w:val="22"/>
          <w:lang w:val="en" w:eastAsia="en-GB"/>
        </w:rPr>
      </w:pPr>
    </w:p>
    <w:p w:rsidR="008451DB" w:rsidRPr="002A6C29" w:rsidRDefault="008451DB" w:rsidP="002A6C29">
      <w:pPr>
        <w:rPr>
          <w:rFonts w:ascii="Lato" w:hAnsi="Lato" w:cs="Tahoma"/>
          <w:sz w:val="22"/>
          <w:szCs w:val="22"/>
          <w:lang w:val="en" w:eastAsia="en-GB"/>
        </w:rPr>
      </w:pPr>
      <w:r w:rsidRPr="002A6C29">
        <w:rPr>
          <w:rFonts w:ascii="Lato" w:hAnsi="Lato" w:cs="Tahoma"/>
          <w:sz w:val="22"/>
          <w:szCs w:val="22"/>
          <w:lang w:val="en" w:eastAsia="en-GB"/>
        </w:rPr>
        <w:t>If the Company deems a certain disclosure to be immaterial, it may be omitted from this Statement. Some of the disclosures required under the CRD are deemed immaterial or are omitted since they are not relevant to the Company’s business.  </w:t>
      </w:r>
    </w:p>
    <w:p w:rsidR="008451DB" w:rsidRPr="002A6C29" w:rsidRDefault="008451DB" w:rsidP="002A6C29">
      <w:pPr>
        <w:rPr>
          <w:rFonts w:ascii="Lato" w:hAnsi="Lato" w:cs="Tahoma"/>
          <w:sz w:val="22"/>
          <w:szCs w:val="22"/>
          <w:lang w:val="en" w:eastAsia="en-GB"/>
        </w:rPr>
      </w:pPr>
    </w:p>
    <w:p w:rsidR="008451DB" w:rsidRPr="002A6C29" w:rsidRDefault="008451DB" w:rsidP="002A6C29">
      <w:pPr>
        <w:rPr>
          <w:rFonts w:ascii="Lato" w:hAnsi="Lato" w:cs="Tahoma"/>
          <w:sz w:val="22"/>
          <w:szCs w:val="22"/>
          <w:lang w:val="en" w:eastAsia="en-GB"/>
        </w:rPr>
      </w:pPr>
      <w:r w:rsidRPr="002A6C29">
        <w:rPr>
          <w:rFonts w:ascii="Lato" w:hAnsi="Lato" w:cs="Tahoma"/>
          <w:sz w:val="22"/>
          <w:szCs w:val="22"/>
          <w:lang w:val="en" w:eastAsia="en-GB"/>
        </w:rPr>
        <w:t xml:space="preserve">The firm is also permitted to omit one or more of the required disclosures where it believes that the information is regarded as proprietary or confidential.   Proprietary information, if it were shared, would undermine the firm’s competitive position. Proprietary information may include information on products or systems which, if shared with competitors, would render the firm’s investments therein less valuable. Further, the firm must regard information as confidential if there are obligations to clients or other counterparty relationships binding the firm to confidentiality. </w:t>
      </w:r>
      <w:proofErr w:type="gramStart"/>
      <w:r w:rsidRPr="002A6C29">
        <w:rPr>
          <w:rFonts w:ascii="Lato" w:hAnsi="Lato" w:cs="Tahoma"/>
          <w:sz w:val="22"/>
          <w:szCs w:val="22"/>
          <w:lang w:val="en" w:eastAsia="en-GB"/>
        </w:rPr>
        <w:t>In the event that</w:t>
      </w:r>
      <w:proofErr w:type="gramEnd"/>
      <w:r w:rsidRPr="002A6C29">
        <w:rPr>
          <w:rFonts w:ascii="Lato" w:hAnsi="Lato" w:cs="Tahoma"/>
          <w:sz w:val="22"/>
          <w:szCs w:val="22"/>
          <w:lang w:val="en" w:eastAsia="en-GB"/>
        </w:rPr>
        <w:t xml:space="preserve"> any such information is omitted, we shall disclose such and explain the grounds why it has not been disclosed. </w:t>
      </w:r>
    </w:p>
    <w:p w:rsidR="008451DB" w:rsidRPr="002A6C29" w:rsidRDefault="008451DB" w:rsidP="002A6C29">
      <w:pPr>
        <w:spacing w:before="100" w:beforeAutospacing="1" w:after="100" w:afterAutospacing="1"/>
        <w:rPr>
          <w:rFonts w:ascii="Lato" w:hAnsi="Lato" w:cs="Tahoma"/>
          <w:sz w:val="22"/>
          <w:szCs w:val="22"/>
          <w:lang w:val="en" w:eastAsia="en-GB"/>
        </w:rPr>
      </w:pPr>
      <w:r w:rsidRPr="002A6C29">
        <w:rPr>
          <w:rFonts w:ascii="Lato" w:hAnsi="Lato" w:cs="Tahoma"/>
          <w:sz w:val="22"/>
          <w:szCs w:val="22"/>
          <w:lang w:val="en" w:eastAsia="en-GB"/>
        </w:rPr>
        <w:t xml:space="preserve">We have made no omissions </w:t>
      </w:r>
      <w:proofErr w:type="gramStart"/>
      <w:r w:rsidRPr="002A6C29">
        <w:rPr>
          <w:rFonts w:ascii="Lato" w:hAnsi="Lato" w:cs="Tahoma"/>
          <w:sz w:val="22"/>
          <w:szCs w:val="22"/>
          <w:lang w:val="en" w:eastAsia="en-GB"/>
        </w:rPr>
        <w:t>on the grounds that</w:t>
      </w:r>
      <w:proofErr w:type="gramEnd"/>
      <w:r w:rsidRPr="002A6C29">
        <w:rPr>
          <w:rFonts w:ascii="Lato" w:hAnsi="Lato" w:cs="Tahoma"/>
          <w:sz w:val="22"/>
          <w:szCs w:val="22"/>
          <w:lang w:val="en" w:eastAsia="en-GB"/>
        </w:rPr>
        <w:t xml:space="preserve"> it is proprietary or confidential.</w:t>
      </w:r>
    </w:p>
    <w:p w:rsidR="0040071D" w:rsidRDefault="0040071D" w:rsidP="002A6C29">
      <w:pPr>
        <w:rPr>
          <w:rFonts w:ascii="Playfair Display" w:hAnsi="Playfair Display" w:cs="Tahoma"/>
          <w:b/>
          <w:sz w:val="22"/>
          <w:szCs w:val="22"/>
          <w:lang w:val="en" w:eastAsia="en-GB"/>
        </w:rPr>
      </w:pPr>
    </w:p>
    <w:p w:rsidR="0040071D" w:rsidRDefault="0040071D" w:rsidP="002A6C29">
      <w:pPr>
        <w:rPr>
          <w:rFonts w:ascii="Playfair Display" w:hAnsi="Playfair Display" w:cs="Tahoma"/>
          <w:b/>
          <w:sz w:val="22"/>
          <w:szCs w:val="22"/>
          <w:lang w:val="en" w:eastAsia="en-GB"/>
        </w:rPr>
      </w:pPr>
    </w:p>
    <w:p w:rsidR="0040071D" w:rsidRDefault="0040071D" w:rsidP="002A6C29">
      <w:pPr>
        <w:rPr>
          <w:rFonts w:ascii="Playfair Display" w:hAnsi="Playfair Display" w:cs="Tahoma"/>
          <w:b/>
          <w:sz w:val="22"/>
          <w:szCs w:val="22"/>
          <w:lang w:val="en" w:eastAsia="en-GB"/>
        </w:rPr>
      </w:pPr>
    </w:p>
    <w:p w:rsidR="008451DB" w:rsidRPr="002A6C29" w:rsidRDefault="008451DB" w:rsidP="002A6C29">
      <w:pPr>
        <w:rPr>
          <w:rFonts w:ascii="Playfair Display" w:hAnsi="Playfair Display" w:cs="Tahoma"/>
          <w:b/>
          <w:sz w:val="22"/>
          <w:szCs w:val="22"/>
          <w:lang w:val="en" w:eastAsia="en-GB"/>
        </w:rPr>
      </w:pPr>
      <w:r w:rsidRPr="002A6C29">
        <w:rPr>
          <w:rFonts w:ascii="Playfair Display" w:hAnsi="Playfair Display" w:cs="Tahoma"/>
          <w:b/>
          <w:sz w:val="22"/>
          <w:szCs w:val="22"/>
          <w:lang w:val="en" w:eastAsia="en-GB"/>
        </w:rPr>
        <w:lastRenderedPageBreak/>
        <w:t>Frequency</w:t>
      </w:r>
    </w:p>
    <w:p w:rsidR="008451DB" w:rsidRPr="002A6C29" w:rsidRDefault="008451DB" w:rsidP="002A6C29">
      <w:pPr>
        <w:rPr>
          <w:rFonts w:ascii="Lato" w:hAnsi="Lato" w:cs="Tahoma"/>
          <w:sz w:val="22"/>
          <w:szCs w:val="22"/>
          <w:lang w:val="en" w:eastAsia="en-GB"/>
        </w:rPr>
      </w:pPr>
      <w:r w:rsidRPr="002A6C29">
        <w:rPr>
          <w:rFonts w:ascii="Lato" w:hAnsi="Lato" w:cs="Tahoma"/>
          <w:sz w:val="22"/>
          <w:szCs w:val="22"/>
          <w:lang w:val="en" w:eastAsia="en-GB"/>
        </w:rPr>
        <w:t xml:space="preserve">These Pillar 3 Disclosures will be reviewed on an annual basis as a minimum. The disclosures will be published as soon as is practical following the </w:t>
      </w:r>
      <w:proofErr w:type="spellStart"/>
      <w:r w:rsidRPr="002A6C29">
        <w:rPr>
          <w:rFonts w:ascii="Lato" w:hAnsi="Lato" w:cs="Tahoma"/>
          <w:sz w:val="22"/>
          <w:szCs w:val="22"/>
          <w:lang w:val="en" w:eastAsia="en-GB"/>
        </w:rPr>
        <w:t>finalisation</w:t>
      </w:r>
      <w:proofErr w:type="spellEnd"/>
      <w:r w:rsidRPr="002A6C29">
        <w:rPr>
          <w:rFonts w:ascii="Lato" w:hAnsi="Lato" w:cs="Tahoma"/>
          <w:sz w:val="22"/>
          <w:szCs w:val="22"/>
          <w:lang w:val="en" w:eastAsia="en-GB"/>
        </w:rPr>
        <w:t xml:space="preserve"> of the firm’s Internal Capital Adequacy Assessment Process (ICAAP) and the publication of its annual reports.</w:t>
      </w:r>
    </w:p>
    <w:p w:rsidR="008451DB" w:rsidRPr="002A6C29" w:rsidRDefault="008451DB" w:rsidP="002A6C29">
      <w:pPr>
        <w:rPr>
          <w:rFonts w:ascii="Lato" w:hAnsi="Lato" w:cs="Tahoma"/>
          <w:sz w:val="22"/>
          <w:szCs w:val="22"/>
          <w:lang w:val="en" w:eastAsia="en-GB"/>
        </w:rPr>
      </w:pPr>
    </w:p>
    <w:p w:rsidR="008451DB" w:rsidRPr="002A6C29" w:rsidRDefault="008451DB" w:rsidP="002A6C29">
      <w:pPr>
        <w:rPr>
          <w:rFonts w:ascii="Playfair Display" w:hAnsi="Playfair Display" w:cs="Tahoma"/>
          <w:b/>
          <w:bCs/>
          <w:sz w:val="22"/>
          <w:szCs w:val="22"/>
          <w:lang w:val="en" w:eastAsia="en-GB"/>
        </w:rPr>
      </w:pPr>
      <w:r w:rsidRPr="002A6C29">
        <w:rPr>
          <w:rFonts w:ascii="Playfair Display" w:hAnsi="Playfair Display" w:cs="Tahoma"/>
          <w:b/>
          <w:bCs/>
          <w:sz w:val="22"/>
          <w:szCs w:val="22"/>
          <w:lang w:val="en" w:eastAsia="en-GB"/>
        </w:rPr>
        <w:t>Verification</w:t>
      </w:r>
    </w:p>
    <w:p w:rsidR="008451DB" w:rsidRPr="002A6C29" w:rsidRDefault="008451DB" w:rsidP="002A6C29">
      <w:pPr>
        <w:rPr>
          <w:rFonts w:ascii="Lato" w:hAnsi="Lato" w:cs="Tahoma"/>
          <w:sz w:val="22"/>
          <w:szCs w:val="22"/>
          <w:lang w:val="en" w:eastAsia="en-GB"/>
        </w:rPr>
      </w:pPr>
      <w:r w:rsidRPr="002A6C29">
        <w:rPr>
          <w:rFonts w:ascii="Lato" w:hAnsi="Lato" w:cs="Tahoma"/>
          <w:sz w:val="22"/>
          <w:szCs w:val="22"/>
          <w:lang w:val="en" w:eastAsia="en-GB"/>
        </w:rPr>
        <w:t>The information contained in this document has not been audited by the Company’s external auditors and does not constitute any form of financial statement and must not be relied upon in making any judgement on the Company.</w:t>
      </w:r>
    </w:p>
    <w:p w:rsidR="008451DB" w:rsidRPr="002A6C29" w:rsidRDefault="008451DB" w:rsidP="002A6C29">
      <w:pPr>
        <w:rPr>
          <w:rFonts w:ascii="Lato" w:hAnsi="Lato" w:cs="Tahoma"/>
          <w:b/>
          <w:bCs/>
          <w:sz w:val="22"/>
          <w:szCs w:val="22"/>
          <w:u w:val="single"/>
          <w:lang w:val="en" w:eastAsia="en-GB"/>
        </w:rPr>
      </w:pPr>
    </w:p>
    <w:p w:rsidR="008451DB" w:rsidRPr="002A6C29" w:rsidRDefault="008451DB" w:rsidP="002A6C29">
      <w:pPr>
        <w:rPr>
          <w:rFonts w:ascii="Playfair Display" w:hAnsi="Playfair Display" w:cs="Tahoma"/>
          <w:sz w:val="22"/>
          <w:szCs w:val="22"/>
          <w:lang w:val="en" w:eastAsia="en-GB"/>
        </w:rPr>
      </w:pPr>
      <w:r w:rsidRPr="002A6C29">
        <w:rPr>
          <w:rFonts w:ascii="Playfair Display" w:hAnsi="Playfair Display" w:cs="Tahoma"/>
          <w:b/>
          <w:bCs/>
          <w:sz w:val="22"/>
          <w:szCs w:val="22"/>
          <w:lang w:val="en" w:eastAsia="en-GB"/>
        </w:rPr>
        <w:t>Publication</w:t>
      </w:r>
      <w:r w:rsidRPr="002A6C29">
        <w:rPr>
          <w:rFonts w:ascii="Lato" w:hAnsi="Lato" w:cs="Tahoma"/>
          <w:sz w:val="22"/>
          <w:szCs w:val="22"/>
          <w:u w:val="single"/>
          <w:lang w:val="en" w:eastAsia="en-GB"/>
        </w:rPr>
        <w:br/>
      </w:r>
      <w:r w:rsidRPr="002A6C29">
        <w:rPr>
          <w:rFonts w:ascii="Lato" w:hAnsi="Lato" w:cs="Tahoma"/>
          <w:sz w:val="22"/>
          <w:szCs w:val="22"/>
          <w:lang w:val="en" w:eastAsia="en-GB"/>
        </w:rPr>
        <w:t xml:space="preserve">The firm’s Pillar 3 disclosure is published on our website at </w:t>
      </w:r>
      <w:hyperlink r:id="rId9" w:history="1">
        <w:r w:rsidRPr="002A6C29">
          <w:rPr>
            <w:rFonts w:ascii="Lato" w:hAnsi="Lato" w:cs="Tahoma"/>
            <w:sz w:val="22"/>
            <w:szCs w:val="22"/>
            <w:u w:val="single"/>
            <w:lang w:val="en" w:eastAsia="en-GB"/>
          </w:rPr>
          <w:t>www.thorntons-investments.co.uk</w:t>
        </w:r>
      </w:hyperlink>
      <w:r w:rsidRPr="002A6C29">
        <w:rPr>
          <w:rFonts w:ascii="Lato" w:hAnsi="Lato" w:cs="Tahoma"/>
          <w:sz w:val="22"/>
          <w:szCs w:val="22"/>
          <w:lang w:val="en" w:eastAsia="en-GB"/>
        </w:rPr>
        <w:tab/>
      </w:r>
      <w:r w:rsidRPr="002A6C29">
        <w:rPr>
          <w:rFonts w:ascii="Lato" w:hAnsi="Lato" w:cs="Tahoma"/>
          <w:sz w:val="22"/>
          <w:szCs w:val="22"/>
          <w:lang w:val="en" w:eastAsia="en-GB"/>
        </w:rPr>
        <w:br/>
      </w:r>
      <w:r w:rsidRPr="002A6C29">
        <w:rPr>
          <w:rFonts w:ascii="Playfair Display" w:hAnsi="Playfair Display" w:cs="Tahoma"/>
          <w:b/>
          <w:bCs/>
          <w:sz w:val="22"/>
          <w:szCs w:val="22"/>
          <w:lang w:val="en" w:eastAsia="en-GB"/>
        </w:rPr>
        <w:t>Risk management objectives and policies</w:t>
      </w:r>
    </w:p>
    <w:p w:rsidR="008451DB" w:rsidRPr="002A6C29" w:rsidRDefault="008451DB" w:rsidP="002A6C29">
      <w:pPr>
        <w:rPr>
          <w:rFonts w:ascii="Lato" w:hAnsi="Lato" w:cs="Tahoma"/>
          <w:b/>
          <w:bCs/>
          <w:sz w:val="22"/>
          <w:szCs w:val="22"/>
          <w:lang w:val="en" w:eastAsia="en-GB"/>
        </w:rPr>
      </w:pPr>
      <w:r w:rsidRPr="002A6C29">
        <w:rPr>
          <w:rFonts w:ascii="Lato" w:eastAsia="Calibri" w:hAnsi="Lato" w:cs="Tahoma"/>
          <w:sz w:val="22"/>
          <w:szCs w:val="22"/>
        </w:rPr>
        <w:t>The firm’s compliance monitoring procedures are designed around risks considered to be relevant to the firm. These will be updated annually through a process taking input from senior management and from the board. The compliance monitoring process also highlights the processes in place which are designed to mitigate any identified risks.</w:t>
      </w:r>
    </w:p>
    <w:p w:rsidR="008451DB" w:rsidRPr="002A6C29" w:rsidRDefault="008451DB" w:rsidP="002A6C29">
      <w:pPr>
        <w:rPr>
          <w:rFonts w:ascii="Lato" w:eastAsia="Calibri" w:hAnsi="Lato" w:cs="Tahoma"/>
          <w:sz w:val="22"/>
          <w:szCs w:val="22"/>
        </w:rPr>
      </w:pPr>
    </w:p>
    <w:p w:rsidR="008451DB" w:rsidRPr="002A6C29" w:rsidRDefault="008451DB" w:rsidP="002A6C29">
      <w:pPr>
        <w:rPr>
          <w:rFonts w:ascii="Lato" w:hAnsi="Lato" w:cs="Tahoma"/>
          <w:sz w:val="22"/>
          <w:szCs w:val="22"/>
          <w:lang w:val="en" w:eastAsia="en-GB"/>
        </w:rPr>
      </w:pPr>
      <w:r w:rsidRPr="002A6C29">
        <w:rPr>
          <w:rFonts w:ascii="Lato" w:eastAsia="Calibri" w:hAnsi="Lato" w:cs="Tahoma"/>
          <w:sz w:val="22"/>
          <w:szCs w:val="22"/>
        </w:rPr>
        <w:t xml:space="preserve">Risk management and mitigation measures are reviewed and where appropriate modified according to need.   The firm’s risk position is monitored through the Compliance Committee, Investment Committee and </w:t>
      </w:r>
      <w:r w:rsidR="00EB2045" w:rsidRPr="002A6C29">
        <w:rPr>
          <w:rFonts w:ascii="Lato" w:eastAsia="Calibri" w:hAnsi="Lato" w:cs="Tahoma"/>
          <w:sz w:val="22"/>
          <w:szCs w:val="22"/>
        </w:rPr>
        <w:t>Operations Board</w:t>
      </w:r>
      <w:r w:rsidRPr="002A6C29">
        <w:rPr>
          <w:rFonts w:ascii="Lato" w:eastAsia="Calibri" w:hAnsi="Lato" w:cs="Tahoma"/>
          <w:sz w:val="22"/>
          <w:szCs w:val="22"/>
        </w:rPr>
        <w:t xml:space="preserve"> with each Committee holding monthly meetings.   Issues arising are reported at board level</w:t>
      </w:r>
      <w:r w:rsidR="006B24EB" w:rsidRPr="002A6C29">
        <w:rPr>
          <w:rFonts w:ascii="Lato" w:eastAsia="Calibri" w:hAnsi="Lato" w:cs="Tahoma"/>
          <w:sz w:val="22"/>
          <w:szCs w:val="22"/>
        </w:rPr>
        <w:t xml:space="preserve"> which </w:t>
      </w:r>
      <w:r w:rsidR="00EB2045" w:rsidRPr="002A6C29">
        <w:rPr>
          <w:rFonts w:ascii="Lato" w:eastAsia="Calibri" w:hAnsi="Lato" w:cs="Tahoma"/>
          <w:sz w:val="22"/>
          <w:szCs w:val="22"/>
        </w:rPr>
        <w:t xml:space="preserve">also </w:t>
      </w:r>
      <w:r w:rsidR="006B24EB" w:rsidRPr="002A6C29">
        <w:rPr>
          <w:rFonts w:ascii="Lato" w:eastAsia="Calibri" w:hAnsi="Lato" w:cs="Tahoma"/>
          <w:sz w:val="22"/>
          <w:szCs w:val="22"/>
        </w:rPr>
        <w:t>meets monthly</w:t>
      </w:r>
      <w:r w:rsidRPr="002A6C29">
        <w:rPr>
          <w:rFonts w:ascii="Lato" w:eastAsia="Calibri" w:hAnsi="Lato" w:cs="Tahoma"/>
          <w:sz w:val="22"/>
          <w:szCs w:val="22"/>
        </w:rPr>
        <w:t xml:space="preserve">. </w:t>
      </w:r>
    </w:p>
    <w:p w:rsidR="008451DB" w:rsidRPr="002A6C29" w:rsidRDefault="008451DB" w:rsidP="002A6C29">
      <w:pPr>
        <w:rPr>
          <w:rFonts w:ascii="Lato" w:eastAsia="Calibri" w:hAnsi="Lato" w:cs="Tahoma"/>
          <w:sz w:val="22"/>
          <w:szCs w:val="22"/>
        </w:rPr>
      </w:pPr>
    </w:p>
    <w:p w:rsidR="008451DB" w:rsidRPr="002A6C29" w:rsidRDefault="008451DB" w:rsidP="002A6C29">
      <w:pPr>
        <w:rPr>
          <w:rFonts w:ascii="Lato" w:eastAsia="Calibri" w:hAnsi="Lato" w:cs="Tahoma"/>
          <w:sz w:val="22"/>
          <w:szCs w:val="22"/>
        </w:rPr>
      </w:pPr>
      <w:r w:rsidRPr="002A6C29">
        <w:rPr>
          <w:rFonts w:ascii="Lato" w:eastAsia="Calibri" w:hAnsi="Lato" w:cs="Tahoma"/>
          <w:sz w:val="22"/>
          <w:szCs w:val="22"/>
        </w:rPr>
        <w:t xml:space="preserve">The risks facing the firm are identified and considered both from the perspective of the likelihood of their occurring and from the perspective of their potential impact on the firm should they occur.  </w:t>
      </w:r>
    </w:p>
    <w:p w:rsidR="008451DB" w:rsidRPr="002A6C29" w:rsidRDefault="008451DB" w:rsidP="002A6C29">
      <w:pPr>
        <w:rPr>
          <w:rFonts w:ascii="Lato" w:eastAsia="Calibri" w:hAnsi="Lato" w:cs="Tahoma"/>
          <w:sz w:val="22"/>
          <w:szCs w:val="22"/>
        </w:rPr>
      </w:pPr>
    </w:p>
    <w:p w:rsidR="008451DB" w:rsidRPr="002A6C29" w:rsidRDefault="008451DB" w:rsidP="002A6C29">
      <w:pPr>
        <w:rPr>
          <w:rFonts w:ascii="Lato" w:eastAsia="Calibri" w:hAnsi="Lato" w:cs="Tahoma"/>
          <w:sz w:val="22"/>
          <w:szCs w:val="22"/>
        </w:rPr>
      </w:pPr>
      <w:r w:rsidRPr="002A6C29">
        <w:rPr>
          <w:rFonts w:ascii="Lato" w:eastAsia="Calibri" w:hAnsi="Lato" w:cs="Tahoma"/>
          <w:sz w:val="22"/>
          <w:szCs w:val="22"/>
        </w:rPr>
        <w:t xml:space="preserve">The firm also considers risks relevant to the ICAAP process as documented in the Risk Register.  The implications of the firm’s risk management plan and the consequences of any review of the plan are fed into the firm’s ICAAP process.   Our risk management approach reflects the FCA requirement that we must manage </w:t>
      </w:r>
      <w:r w:rsidR="00267732" w:rsidRPr="002A6C29">
        <w:rPr>
          <w:rFonts w:ascii="Lato" w:eastAsia="Calibri" w:hAnsi="Lato" w:cs="Tahoma"/>
          <w:sz w:val="22"/>
          <w:szCs w:val="22"/>
        </w:rPr>
        <w:t>several</w:t>
      </w:r>
      <w:r w:rsidRPr="002A6C29">
        <w:rPr>
          <w:rFonts w:ascii="Lato" w:eastAsia="Calibri" w:hAnsi="Lato" w:cs="Tahoma"/>
          <w:sz w:val="22"/>
          <w:szCs w:val="22"/>
        </w:rPr>
        <w:t xml:space="preserve"> </w:t>
      </w:r>
      <w:proofErr w:type="gramStart"/>
      <w:r w:rsidRPr="002A6C29">
        <w:rPr>
          <w:rFonts w:ascii="Lato" w:eastAsia="Calibri" w:hAnsi="Lato" w:cs="Tahoma"/>
          <w:sz w:val="22"/>
          <w:szCs w:val="22"/>
        </w:rPr>
        <w:t>different categories</w:t>
      </w:r>
      <w:proofErr w:type="gramEnd"/>
      <w:r w:rsidRPr="002A6C29">
        <w:rPr>
          <w:rFonts w:ascii="Lato" w:eastAsia="Calibri" w:hAnsi="Lato" w:cs="Tahoma"/>
          <w:sz w:val="22"/>
          <w:szCs w:val="22"/>
        </w:rPr>
        <w:t xml:space="preserve"> of risk. </w:t>
      </w:r>
      <w:r w:rsidRPr="002A6C29">
        <w:rPr>
          <w:rFonts w:ascii="Lato" w:eastAsia="Calibri" w:hAnsi="Lato" w:cs="Tahoma"/>
          <w:b/>
          <w:sz w:val="22"/>
          <w:szCs w:val="22"/>
        </w:rPr>
        <w:t xml:space="preserve">These include: liquidity, credit, market, interest rate, business and operational risks. </w:t>
      </w:r>
      <w:r w:rsidRPr="002A6C29">
        <w:rPr>
          <w:rFonts w:ascii="Lato" w:eastAsia="Calibri" w:hAnsi="Lato" w:cs="Tahoma"/>
          <w:sz w:val="22"/>
          <w:szCs w:val="22"/>
        </w:rPr>
        <w:t xml:space="preserve">  These will be revisited during any review of risks but as a minimum during the periodic ICAAP review.</w:t>
      </w:r>
    </w:p>
    <w:p w:rsidR="008451DB" w:rsidRPr="002A6C29" w:rsidRDefault="008451DB" w:rsidP="002A6C29">
      <w:pPr>
        <w:rPr>
          <w:rFonts w:ascii="Lato" w:eastAsia="Calibri" w:hAnsi="Lato" w:cs="Tahoma"/>
          <w:sz w:val="22"/>
          <w:szCs w:val="22"/>
        </w:rPr>
      </w:pPr>
    </w:p>
    <w:p w:rsidR="008451DB" w:rsidRPr="002A6C29" w:rsidRDefault="008451DB" w:rsidP="002A6C29">
      <w:pPr>
        <w:numPr>
          <w:ilvl w:val="0"/>
          <w:numId w:val="31"/>
        </w:numPr>
        <w:rPr>
          <w:rFonts w:ascii="Lato" w:eastAsia="Calibri" w:hAnsi="Lato" w:cs="Tahoma"/>
          <w:b/>
          <w:sz w:val="22"/>
          <w:szCs w:val="22"/>
        </w:rPr>
      </w:pPr>
      <w:r w:rsidRPr="002A6C29">
        <w:rPr>
          <w:rFonts w:ascii="Lato" w:eastAsia="Calibri" w:hAnsi="Lato" w:cs="Tahoma"/>
          <w:b/>
          <w:sz w:val="22"/>
          <w:szCs w:val="22"/>
        </w:rPr>
        <w:t>Liquidity risk</w:t>
      </w:r>
    </w:p>
    <w:p w:rsidR="008451DB" w:rsidRPr="002A6C29" w:rsidRDefault="008451DB" w:rsidP="002A6C29">
      <w:pPr>
        <w:rPr>
          <w:rFonts w:ascii="Lato" w:eastAsia="Calibri" w:hAnsi="Lato" w:cs="Tahoma"/>
          <w:sz w:val="22"/>
          <w:szCs w:val="22"/>
        </w:rPr>
      </w:pPr>
      <w:r w:rsidRPr="002A6C29">
        <w:rPr>
          <w:rFonts w:ascii="Lato" w:eastAsia="Calibri" w:hAnsi="Lato" w:cs="Tahoma"/>
          <w:sz w:val="22"/>
          <w:szCs w:val="22"/>
        </w:rPr>
        <w:t>The firm manages all cash and borrowing requirements to maximise potential interest income whilst ensuring the firm has sufficient liquid resources to meet the continued operating needs of the business. This is supported by a robust budgeting and forecasting process which has the full involvement of the senior management team.</w:t>
      </w:r>
    </w:p>
    <w:p w:rsidR="008451DB" w:rsidRPr="002A6C29" w:rsidRDefault="008451DB" w:rsidP="002A6C29">
      <w:pPr>
        <w:rPr>
          <w:rFonts w:ascii="Lato" w:eastAsia="Calibri" w:hAnsi="Lato" w:cs="Tahoma"/>
          <w:sz w:val="22"/>
          <w:szCs w:val="22"/>
        </w:rPr>
      </w:pPr>
    </w:p>
    <w:p w:rsidR="008451DB" w:rsidRPr="002A6C29" w:rsidRDefault="008451DB" w:rsidP="002A6C29">
      <w:pPr>
        <w:numPr>
          <w:ilvl w:val="0"/>
          <w:numId w:val="31"/>
        </w:numPr>
        <w:rPr>
          <w:rFonts w:ascii="Lato" w:eastAsia="Calibri" w:hAnsi="Lato" w:cs="Tahoma"/>
          <w:b/>
          <w:sz w:val="22"/>
          <w:szCs w:val="22"/>
        </w:rPr>
      </w:pPr>
      <w:r w:rsidRPr="002A6C29">
        <w:rPr>
          <w:rFonts w:ascii="Lato" w:eastAsia="Calibri" w:hAnsi="Lato" w:cs="Tahoma"/>
          <w:b/>
          <w:sz w:val="22"/>
          <w:szCs w:val="22"/>
        </w:rPr>
        <w:t>Credit risk</w:t>
      </w:r>
    </w:p>
    <w:p w:rsidR="008451DB" w:rsidRPr="002A6C29" w:rsidRDefault="008451DB" w:rsidP="002A6C29">
      <w:pPr>
        <w:rPr>
          <w:rFonts w:ascii="Lato" w:eastAsia="Calibri" w:hAnsi="Lato" w:cs="Tahoma"/>
          <w:sz w:val="22"/>
          <w:szCs w:val="22"/>
        </w:rPr>
      </w:pPr>
      <w:r w:rsidRPr="002A6C29">
        <w:rPr>
          <w:rFonts w:ascii="Lato" w:eastAsia="Calibri" w:hAnsi="Lato" w:cs="Tahoma"/>
          <w:sz w:val="22"/>
          <w:szCs w:val="22"/>
        </w:rPr>
        <w:t xml:space="preserve">The main credit risk for the firm relates to non-payment of advisory fees, being the risk that a client does not pay amounts due for services provided. This risk is mitigated as payments for our on-going service are paid monthly and facilitated via the WRAP / Platform provider from investments held.   </w:t>
      </w:r>
    </w:p>
    <w:p w:rsidR="008451DB" w:rsidRPr="002A6C29" w:rsidRDefault="008451DB" w:rsidP="002A6C29">
      <w:pPr>
        <w:ind w:left="728" w:hanging="14"/>
        <w:rPr>
          <w:rFonts w:ascii="Lato" w:eastAsia="Calibri" w:hAnsi="Lato" w:cs="Tahoma"/>
          <w:sz w:val="22"/>
          <w:szCs w:val="22"/>
        </w:rPr>
      </w:pPr>
    </w:p>
    <w:p w:rsidR="008451DB" w:rsidRPr="002A6C29" w:rsidRDefault="008451DB" w:rsidP="002A6C29">
      <w:pPr>
        <w:rPr>
          <w:rFonts w:ascii="Lato" w:eastAsia="Calibri" w:hAnsi="Lato" w:cs="Tahoma"/>
          <w:sz w:val="22"/>
          <w:szCs w:val="22"/>
        </w:rPr>
      </w:pPr>
      <w:r w:rsidRPr="002A6C29">
        <w:rPr>
          <w:rFonts w:ascii="Lato" w:eastAsia="Calibri" w:hAnsi="Lato" w:cs="Tahoma"/>
          <w:sz w:val="22"/>
          <w:szCs w:val="22"/>
        </w:rPr>
        <w:t xml:space="preserve">Where the firm fees are invoiced directly </w:t>
      </w:r>
      <w:r w:rsidR="00267732" w:rsidRPr="002A6C29">
        <w:rPr>
          <w:rFonts w:ascii="Lato" w:eastAsia="Calibri" w:hAnsi="Lato" w:cs="Tahoma"/>
          <w:sz w:val="22"/>
          <w:szCs w:val="22"/>
        </w:rPr>
        <w:t>regarding</w:t>
      </w:r>
      <w:r w:rsidRPr="002A6C29">
        <w:rPr>
          <w:rFonts w:ascii="Lato" w:eastAsia="Calibri" w:hAnsi="Lato" w:cs="Tahoma"/>
          <w:sz w:val="22"/>
          <w:szCs w:val="22"/>
        </w:rPr>
        <w:t xml:space="preserve"> services provided (Financial Planning and / or Safe Custody services) the incidence of these being un-paid historically is very low due to the long-standing nature of the client bank. </w:t>
      </w:r>
    </w:p>
    <w:p w:rsidR="008451DB" w:rsidRPr="002A6C29" w:rsidRDefault="008451DB" w:rsidP="002A6C29">
      <w:pPr>
        <w:ind w:left="728" w:hanging="14"/>
        <w:rPr>
          <w:rFonts w:ascii="Lato" w:eastAsia="Calibri" w:hAnsi="Lato" w:cs="Tahoma"/>
          <w:sz w:val="22"/>
          <w:szCs w:val="22"/>
        </w:rPr>
      </w:pPr>
    </w:p>
    <w:p w:rsidR="008451DB" w:rsidRPr="002A6C29" w:rsidRDefault="008451DB" w:rsidP="002A6C29">
      <w:pPr>
        <w:rPr>
          <w:rFonts w:ascii="Lato" w:eastAsia="Calibri" w:hAnsi="Lato" w:cs="Tahoma"/>
          <w:sz w:val="22"/>
          <w:szCs w:val="22"/>
        </w:rPr>
      </w:pPr>
      <w:r w:rsidRPr="002A6C29">
        <w:rPr>
          <w:rFonts w:ascii="Lato" w:eastAsia="Calibri" w:hAnsi="Lato" w:cs="Tahoma"/>
          <w:sz w:val="22"/>
          <w:szCs w:val="22"/>
        </w:rPr>
        <w:lastRenderedPageBreak/>
        <w:t>The firm’s revenues also include annual management fees received from clients based on a percentage of client assets under management. These charges are made directly to the clients’ portfolios, and therefore the credit risk relating to this income is minimal.</w:t>
      </w:r>
    </w:p>
    <w:p w:rsidR="008451DB" w:rsidRPr="002A6C29" w:rsidRDefault="008451DB" w:rsidP="002A6C29">
      <w:pPr>
        <w:ind w:left="714"/>
        <w:rPr>
          <w:rFonts w:ascii="Lato" w:eastAsia="Calibri" w:hAnsi="Lato" w:cs="Tahoma"/>
          <w:sz w:val="22"/>
          <w:szCs w:val="22"/>
        </w:rPr>
      </w:pPr>
    </w:p>
    <w:p w:rsidR="008451DB" w:rsidRPr="002A6C29" w:rsidRDefault="008451DB" w:rsidP="002A6C29">
      <w:pPr>
        <w:numPr>
          <w:ilvl w:val="0"/>
          <w:numId w:val="31"/>
        </w:numPr>
        <w:rPr>
          <w:rFonts w:ascii="Lato" w:eastAsia="Calibri" w:hAnsi="Lato" w:cs="Tahoma"/>
          <w:b/>
          <w:sz w:val="22"/>
          <w:szCs w:val="22"/>
        </w:rPr>
      </w:pPr>
      <w:r w:rsidRPr="002A6C29">
        <w:rPr>
          <w:rFonts w:ascii="Lato" w:eastAsia="Calibri" w:hAnsi="Lato" w:cs="Tahoma"/>
          <w:b/>
          <w:sz w:val="22"/>
          <w:szCs w:val="22"/>
        </w:rPr>
        <w:t>Market risk</w:t>
      </w:r>
    </w:p>
    <w:p w:rsidR="008451DB" w:rsidRPr="002A6C29" w:rsidRDefault="008451DB" w:rsidP="002A6C29">
      <w:pPr>
        <w:rPr>
          <w:rFonts w:ascii="Lato" w:eastAsia="Calibri" w:hAnsi="Lato" w:cs="Tahoma"/>
          <w:sz w:val="22"/>
          <w:szCs w:val="22"/>
        </w:rPr>
      </w:pPr>
      <w:r w:rsidRPr="002A6C29">
        <w:rPr>
          <w:rFonts w:ascii="Lato" w:eastAsia="Calibri" w:hAnsi="Lato" w:cs="Tahoma"/>
          <w:sz w:val="22"/>
          <w:szCs w:val="22"/>
        </w:rPr>
        <w:t xml:space="preserve">The firm does not itself take positions in shares or other instruments and is not exposed to foreign-exchange, settlement or commodities risk.  The firm is indirectly subject to market risk as income is based on a percentage of the value of client assets under management. This risk is mitigated </w:t>
      </w:r>
      <w:r w:rsidR="00267732" w:rsidRPr="002A6C29">
        <w:rPr>
          <w:rFonts w:ascii="Lato" w:eastAsia="Calibri" w:hAnsi="Lato" w:cs="Tahoma"/>
          <w:sz w:val="22"/>
          <w:szCs w:val="22"/>
        </w:rPr>
        <w:t>using</w:t>
      </w:r>
      <w:r w:rsidRPr="002A6C29">
        <w:rPr>
          <w:rFonts w:ascii="Lato" w:eastAsia="Calibri" w:hAnsi="Lato" w:cs="Tahoma"/>
          <w:sz w:val="22"/>
          <w:szCs w:val="22"/>
        </w:rPr>
        <w:t xml:space="preserve"> asset allocation strategies which result in diversified portfolios with limited exposure to any one asset class. The firm’s ICAAP assessment shows that in the event of a significant market fall, we would still meet our capital adequacy requirement.  The firm continues to monitor different economic scenarios to model the impact of economic downturns on its financial position.  </w:t>
      </w:r>
    </w:p>
    <w:p w:rsidR="008451DB" w:rsidRPr="002A6C29" w:rsidRDefault="008451DB" w:rsidP="002A6C29">
      <w:pPr>
        <w:rPr>
          <w:rFonts w:ascii="Lato" w:eastAsia="Calibri" w:hAnsi="Lato" w:cs="Tahoma"/>
          <w:sz w:val="22"/>
          <w:szCs w:val="22"/>
        </w:rPr>
      </w:pPr>
    </w:p>
    <w:p w:rsidR="008451DB" w:rsidRPr="002A6C29" w:rsidRDefault="008451DB" w:rsidP="002A6C29">
      <w:pPr>
        <w:numPr>
          <w:ilvl w:val="0"/>
          <w:numId w:val="31"/>
        </w:numPr>
        <w:rPr>
          <w:rFonts w:ascii="Lato" w:eastAsia="Calibri" w:hAnsi="Lato" w:cs="Tahoma"/>
          <w:b/>
          <w:sz w:val="22"/>
          <w:szCs w:val="22"/>
        </w:rPr>
      </w:pPr>
      <w:r w:rsidRPr="002A6C29">
        <w:rPr>
          <w:rFonts w:ascii="Lato" w:eastAsia="Calibri" w:hAnsi="Lato" w:cs="Tahoma"/>
          <w:b/>
          <w:sz w:val="22"/>
          <w:szCs w:val="22"/>
        </w:rPr>
        <w:t>Interest rate risk</w:t>
      </w:r>
    </w:p>
    <w:p w:rsidR="008451DB" w:rsidRPr="002A6C29" w:rsidRDefault="008451DB" w:rsidP="002A6C29">
      <w:pPr>
        <w:contextualSpacing/>
        <w:rPr>
          <w:rFonts w:ascii="Lato" w:eastAsia="Calibri" w:hAnsi="Lato" w:cs="Tahoma"/>
          <w:sz w:val="22"/>
          <w:szCs w:val="22"/>
        </w:rPr>
      </w:pPr>
      <w:r w:rsidRPr="002A6C29">
        <w:rPr>
          <w:rFonts w:ascii="Lato" w:eastAsia="Calibri" w:hAnsi="Lato" w:cs="Tahoma"/>
          <w:sz w:val="22"/>
          <w:szCs w:val="22"/>
        </w:rPr>
        <w:t xml:space="preserve">The firm is exposed to interest rate risk through funding it has received by way of a subordinated loan and the prescribed rate is 2.5% above the base rate of Bank of Scotland.   Interest Rate Risk </w:t>
      </w:r>
      <w:r w:rsidR="00267732" w:rsidRPr="002A6C29">
        <w:rPr>
          <w:rFonts w:ascii="Lato" w:eastAsia="Calibri" w:hAnsi="Lato" w:cs="Tahoma"/>
          <w:sz w:val="22"/>
          <w:szCs w:val="22"/>
        </w:rPr>
        <w:t>regarding</w:t>
      </w:r>
      <w:r w:rsidRPr="002A6C29">
        <w:rPr>
          <w:rFonts w:ascii="Lato" w:eastAsia="Calibri" w:hAnsi="Lato" w:cs="Tahoma"/>
          <w:sz w:val="22"/>
          <w:szCs w:val="22"/>
        </w:rPr>
        <w:t xml:space="preserve"> Company funds on deposit and any impact on the firm is limited and is regarded as negligible.</w:t>
      </w:r>
    </w:p>
    <w:p w:rsidR="008451DB" w:rsidRPr="002A6C29" w:rsidRDefault="008451DB" w:rsidP="002A6C29">
      <w:pPr>
        <w:rPr>
          <w:rFonts w:ascii="Lato" w:eastAsia="Calibri" w:hAnsi="Lato" w:cs="Tahoma"/>
          <w:sz w:val="22"/>
          <w:szCs w:val="22"/>
        </w:rPr>
      </w:pPr>
    </w:p>
    <w:p w:rsidR="008451DB" w:rsidRPr="002A6C29" w:rsidRDefault="008451DB" w:rsidP="002A6C29">
      <w:pPr>
        <w:numPr>
          <w:ilvl w:val="0"/>
          <w:numId w:val="31"/>
        </w:numPr>
        <w:rPr>
          <w:rFonts w:ascii="Lato" w:eastAsia="Calibri" w:hAnsi="Lato" w:cs="Tahoma"/>
          <w:b/>
          <w:sz w:val="22"/>
          <w:szCs w:val="22"/>
        </w:rPr>
      </w:pPr>
      <w:r w:rsidRPr="002A6C29">
        <w:rPr>
          <w:rFonts w:ascii="Lato" w:eastAsia="Calibri" w:hAnsi="Lato" w:cs="Tahoma"/>
          <w:b/>
          <w:sz w:val="22"/>
          <w:szCs w:val="22"/>
        </w:rPr>
        <w:t>Business risk</w:t>
      </w:r>
    </w:p>
    <w:p w:rsidR="008451DB" w:rsidRPr="002A6C29" w:rsidRDefault="008451DB" w:rsidP="002A6C29">
      <w:pPr>
        <w:rPr>
          <w:rFonts w:ascii="Lato" w:eastAsia="Calibri" w:hAnsi="Lato" w:cs="Tahoma"/>
          <w:sz w:val="22"/>
          <w:szCs w:val="22"/>
        </w:rPr>
      </w:pPr>
      <w:r w:rsidRPr="002A6C29">
        <w:rPr>
          <w:rFonts w:ascii="Lato" w:eastAsia="Calibri" w:hAnsi="Lato" w:cs="Tahoma"/>
          <w:sz w:val="22"/>
          <w:szCs w:val="22"/>
        </w:rPr>
        <w:t xml:space="preserve">The firm’s Pillar 2 business risk assessment principally takes the form of a fall in assets under management following a market downturn that leads to lower management fees, although other risks such as loss of advisers and systems failures are also considered. To mitigate our business risk, we regularly analyse </w:t>
      </w:r>
      <w:r w:rsidR="00267732" w:rsidRPr="002A6C29">
        <w:rPr>
          <w:rFonts w:ascii="Lato" w:eastAsia="Calibri" w:hAnsi="Lato" w:cs="Tahoma"/>
          <w:sz w:val="22"/>
          <w:szCs w:val="22"/>
        </w:rPr>
        <w:t>various</w:t>
      </w:r>
      <w:r w:rsidRPr="002A6C29">
        <w:rPr>
          <w:rFonts w:ascii="Lato" w:eastAsia="Calibri" w:hAnsi="Lato" w:cs="Tahoma"/>
          <w:sz w:val="22"/>
          <w:szCs w:val="22"/>
        </w:rPr>
        <w:t xml:space="preserve"> economic scenarios to model the impact of economic downturns on our financial position.</w:t>
      </w:r>
    </w:p>
    <w:p w:rsidR="008451DB" w:rsidRPr="002A6C29" w:rsidRDefault="008451DB" w:rsidP="002A6C29">
      <w:pPr>
        <w:rPr>
          <w:rFonts w:ascii="Lato" w:eastAsia="Calibri" w:hAnsi="Lato" w:cs="Tahoma"/>
          <w:sz w:val="22"/>
          <w:szCs w:val="22"/>
        </w:rPr>
      </w:pPr>
    </w:p>
    <w:p w:rsidR="008451DB" w:rsidRPr="002A6C29" w:rsidRDefault="008451DB" w:rsidP="002A6C29">
      <w:pPr>
        <w:numPr>
          <w:ilvl w:val="0"/>
          <w:numId w:val="31"/>
        </w:numPr>
        <w:rPr>
          <w:rFonts w:ascii="Lato" w:eastAsia="Calibri" w:hAnsi="Lato" w:cs="Tahoma"/>
          <w:b/>
          <w:sz w:val="22"/>
          <w:szCs w:val="22"/>
        </w:rPr>
      </w:pPr>
      <w:r w:rsidRPr="002A6C29">
        <w:rPr>
          <w:rFonts w:ascii="Lato" w:eastAsia="Calibri" w:hAnsi="Lato" w:cs="Tahoma"/>
          <w:b/>
          <w:sz w:val="22"/>
          <w:szCs w:val="22"/>
        </w:rPr>
        <w:t>Operational risk</w:t>
      </w:r>
    </w:p>
    <w:p w:rsidR="008451DB" w:rsidRPr="002A6C29" w:rsidRDefault="008451DB" w:rsidP="002A6C29">
      <w:pPr>
        <w:rPr>
          <w:rFonts w:ascii="Lato" w:eastAsia="Calibri" w:hAnsi="Lato" w:cs="Tahoma"/>
          <w:sz w:val="22"/>
          <w:szCs w:val="22"/>
        </w:rPr>
      </w:pPr>
      <w:r w:rsidRPr="002A6C29">
        <w:rPr>
          <w:rFonts w:ascii="Lato" w:eastAsia="Calibri" w:hAnsi="Lato" w:cs="Tahoma"/>
          <w:sz w:val="22"/>
          <w:szCs w:val="22"/>
          <w:lang w:val="en-US"/>
        </w:rPr>
        <w:t xml:space="preserve">Operational risk is defined as the potential risk of </w:t>
      </w:r>
      <w:proofErr w:type="gramStart"/>
      <w:r w:rsidRPr="002A6C29">
        <w:rPr>
          <w:rFonts w:ascii="Lato" w:eastAsia="Calibri" w:hAnsi="Lato" w:cs="Tahoma"/>
          <w:sz w:val="22"/>
          <w:szCs w:val="22"/>
          <w:lang w:val="en-US"/>
        </w:rPr>
        <w:t>financial loss</w:t>
      </w:r>
      <w:proofErr w:type="gramEnd"/>
      <w:r w:rsidRPr="002A6C29">
        <w:rPr>
          <w:rFonts w:ascii="Lato" w:eastAsia="Calibri" w:hAnsi="Lato" w:cs="Tahoma"/>
          <w:sz w:val="22"/>
          <w:szCs w:val="22"/>
          <w:lang w:val="en-US"/>
        </w:rPr>
        <w:t xml:space="preserve"> or impairment to reputation resulting from inadequate or failed internal processes and systems, from the actions of people or from external events.</w:t>
      </w:r>
      <w:r w:rsidRPr="002A6C29">
        <w:rPr>
          <w:rFonts w:ascii="Lato" w:eastAsia="Calibri" w:hAnsi="Lato"/>
          <w:sz w:val="22"/>
          <w:szCs w:val="22"/>
        </w:rPr>
        <w:t xml:space="preserve"> </w:t>
      </w:r>
      <w:r w:rsidRPr="002A6C29">
        <w:rPr>
          <w:rFonts w:ascii="Lato" w:eastAsia="Calibri" w:hAnsi="Lato" w:cs="Tahoma"/>
          <w:sz w:val="22"/>
          <w:szCs w:val="22"/>
        </w:rPr>
        <w:t xml:space="preserve">The firm is aware that operational risk can never be </w:t>
      </w:r>
      <w:r w:rsidR="00E714CE" w:rsidRPr="002A6C29">
        <w:rPr>
          <w:rFonts w:ascii="Lato" w:eastAsia="Calibri" w:hAnsi="Lato" w:cs="Tahoma"/>
          <w:sz w:val="22"/>
          <w:szCs w:val="22"/>
        </w:rPr>
        <w:t>eliminated but</w:t>
      </w:r>
      <w:r w:rsidRPr="002A6C29">
        <w:rPr>
          <w:rFonts w:ascii="Lato" w:eastAsia="Calibri" w:hAnsi="Lato" w:cs="Tahoma"/>
          <w:sz w:val="22"/>
          <w:szCs w:val="22"/>
        </w:rPr>
        <w:t xml:space="preserve"> seeks to minimise the probability and impact of operational events.  </w:t>
      </w:r>
    </w:p>
    <w:p w:rsidR="008451DB" w:rsidRPr="002A6C29" w:rsidRDefault="008451DB" w:rsidP="002A6C29">
      <w:pPr>
        <w:ind w:left="720"/>
        <w:rPr>
          <w:rFonts w:ascii="Lato" w:eastAsia="Calibri" w:hAnsi="Lato" w:cs="Tahoma"/>
          <w:sz w:val="22"/>
          <w:szCs w:val="22"/>
        </w:rPr>
      </w:pPr>
    </w:p>
    <w:p w:rsidR="008451DB" w:rsidRPr="002A6C29" w:rsidRDefault="008451DB" w:rsidP="002A6C29">
      <w:pPr>
        <w:rPr>
          <w:rFonts w:ascii="Lato" w:eastAsia="Calibri" w:hAnsi="Lato" w:cs="Tahoma"/>
          <w:sz w:val="22"/>
          <w:szCs w:val="22"/>
        </w:rPr>
      </w:pPr>
      <w:r w:rsidRPr="002A6C29">
        <w:rPr>
          <w:rFonts w:ascii="Lato" w:eastAsia="Calibri" w:hAnsi="Lato" w:cs="Tahoma"/>
          <w:sz w:val="22"/>
          <w:szCs w:val="22"/>
        </w:rPr>
        <w:t>Major sources of operation risk include: outsourcing of operations, IT security, internal and external fraud, implementation of strategic change and regulatory non-compliance.</w:t>
      </w:r>
    </w:p>
    <w:p w:rsidR="008451DB" w:rsidRPr="002A6C29" w:rsidRDefault="008451DB" w:rsidP="002A6C29">
      <w:pPr>
        <w:ind w:left="720" w:firstLine="720"/>
        <w:rPr>
          <w:rFonts w:ascii="Lato" w:eastAsia="Calibri" w:hAnsi="Lato" w:cs="Tahoma"/>
          <w:sz w:val="22"/>
          <w:szCs w:val="22"/>
        </w:rPr>
      </w:pPr>
    </w:p>
    <w:p w:rsidR="008451DB" w:rsidRPr="002A6C29" w:rsidRDefault="008451DB" w:rsidP="002A6C29">
      <w:pPr>
        <w:rPr>
          <w:rFonts w:ascii="Lato" w:eastAsia="Calibri" w:hAnsi="Lato" w:cs="Tahoma"/>
          <w:sz w:val="22"/>
          <w:szCs w:val="22"/>
        </w:rPr>
      </w:pPr>
      <w:r w:rsidRPr="002A6C29">
        <w:rPr>
          <w:rFonts w:ascii="Lato" w:eastAsia="Calibri" w:hAnsi="Lato" w:cs="Tahoma"/>
          <w:sz w:val="22"/>
          <w:szCs w:val="22"/>
        </w:rPr>
        <w:t xml:space="preserve">The firm operates a robust risk management process which is regularly reviewed and updated with details being provided to all staff. The firm’s Compliance Oversight is responsible for the periodic reviews and recommending any changes to the Board </w:t>
      </w:r>
    </w:p>
    <w:p w:rsidR="008451DB" w:rsidRPr="002A6C29" w:rsidRDefault="008451DB" w:rsidP="002A6C29">
      <w:pPr>
        <w:ind w:left="720"/>
        <w:rPr>
          <w:rFonts w:ascii="Lato" w:eastAsia="Calibri" w:hAnsi="Lato" w:cs="Tahoma"/>
          <w:sz w:val="22"/>
          <w:szCs w:val="22"/>
        </w:rPr>
      </w:pPr>
    </w:p>
    <w:p w:rsidR="008451DB" w:rsidRPr="002A6C29" w:rsidRDefault="008451DB" w:rsidP="002A6C29">
      <w:pPr>
        <w:rPr>
          <w:rFonts w:ascii="Lato" w:eastAsia="Calibri" w:hAnsi="Lato" w:cs="Tahoma"/>
          <w:sz w:val="22"/>
          <w:szCs w:val="22"/>
        </w:rPr>
      </w:pPr>
      <w:r w:rsidRPr="002A6C29">
        <w:rPr>
          <w:rFonts w:ascii="Lato" w:eastAsia="Calibri" w:hAnsi="Lato" w:cs="Tahoma"/>
          <w:sz w:val="22"/>
          <w:szCs w:val="22"/>
        </w:rPr>
        <w:t>All senior management will bear responsibility for internal controls and the management of business risk as part of their accountability to the board.</w:t>
      </w:r>
    </w:p>
    <w:p w:rsidR="008451DB" w:rsidRPr="002A6C29" w:rsidRDefault="008451DB" w:rsidP="002A6C29">
      <w:pPr>
        <w:ind w:left="720"/>
        <w:rPr>
          <w:rFonts w:ascii="Lato" w:eastAsia="Calibri" w:hAnsi="Lato" w:cs="Tahoma"/>
          <w:sz w:val="22"/>
          <w:szCs w:val="22"/>
        </w:rPr>
      </w:pPr>
    </w:p>
    <w:p w:rsidR="008451DB" w:rsidRPr="002A6C29" w:rsidRDefault="008451DB" w:rsidP="002A6C29">
      <w:pPr>
        <w:rPr>
          <w:rFonts w:ascii="Lato" w:eastAsia="Calibri" w:hAnsi="Lato" w:cs="Tahoma"/>
          <w:sz w:val="22"/>
          <w:szCs w:val="22"/>
        </w:rPr>
      </w:pPr>
      <w:r w:rsidRPr="002A6C29">
        <w:rPr>
          <w:rFonts w:ascii="Lato" w:eastAsia="Calibri" w:hAnsi="Lato" w:cs="Tahoma"/>
          <w:sz w:val="22"/>
          <w:szCs w:val="22"/>
        </w:rPr>
        <w:t>Individuals are responsible for identifying the risks surrounding their work, implementing controls over those risks and reporting areas of concern to their line manager.</w:t>
      </w:r>
    </w:p>
    <w:p w:rsidR="008451DB" w:rsidRPr="002A6C29" w:rsidRDefault="008451DB" w:rsidP="002A6C29">
      <w:pPr>
        <w:ind w:left="720"/>
        <w:rPr>
          <w:rFonts w:ascii="Lato" w:eastAsia="Calibri" w:hAnsi="Lato" w:cs="Tahoma"/>
          <w:sz w:val="22"/>
          <w:szCs w:val="22"/>
        </w:rPr>
      </w:pPr>
    </w:p>
    <w:p w:rsidR="008451DB" w:rsidRPr="002A6C29" w:rsidRDefault="008451DB" w:rsidP="002A6C29">
      <w:pPr>
        <w:rPr>
          <w:rFonts w:ascii="Lato" w:eastAsia="Calibri" w:hAnsi="Lato" w:cs="Tahoma"/>
          <w:sz w:val="22"/>
          <w:szCs w:val="22"/>
        </w:rPr>
      </w:pPr>
      <w:r w:rsidRPr="002A6C29">
        <w:rPr>
          <w:rFonts w:ascii="Lato" w:eastAsia="Calibri" w:hAnsi="Lato" w:cs="Tahoma"/>
          <w:sz w:val="22"/>
          <w:szCs w:val="22"/>
        </w:rPr>
        <w:t>The Compliance Oversight will provide the board with a periodic summary report on all significant risk issues.</w:t>
      </w:r>
    </w:p>
    <w:p w:rsidR="008451DB" w:rsidRPr="002A6C29" w:rsidRDefault="008451DB" w:rsidP="002A6C29">
      <w:pPr>
        <w:rPr>
          <w:rFonts w:ascii="Lato" w:eastAsia="Calibri" w:hAnsi="Lato"/>
          <w:sz w:val="22"/>
          <w:szCs w:val="22"/>
        </w:rPr>
      </w:pPr>
    </w:p>
    <w:p w:rsidR="008451DB" w:rsidRPr="002A6C29" w:rsidRDefault="008451DB" w:rsidP="002A6C29">
      <w:pPr>
        <w:numPr>
          <w:ilvl w:val="0"/>
          <w:numId w:val="31"/>
        </w:numPr>
        <w:rPr>
          <w:rFonts w:ascii="Lato" w:eastAsia="Calibri" w:hAnsi="Lato" w:cs="Tahoma"/>
          <w:b/>
          <w:sz w:val="22"/>
          <w:szCs w:val="22"/>
        </w:rPr>
      </w:pPr>
      <w:r w:rsidRPr="002A6C29">
        <w:rPr>
          <w:rFonts w:ascii="Lato" w:eastAsia="Calibri" w:hAnsi="Lato" w:cs="Tahoma"/>
          <w:b/>
          <w:sz w:val="22"/>
          <w:szCs w:val="22"/>
        </w:rPr>
        <w:t>Other risks</w:t>
      </w:r>
    </w:p>
    <w:p w:rsidR="00444408" w:rsidRDefault="008451DB" w:rsidP="002A6C29">
      <w:pPr>
        <w:rPr>
          <w:rFonts w:ascii="Lato" w:eastAsia="Calibri" w:hAnsi="Lato" w:cs="Tahoma"/>
          <w:sz w:val="22"/>
          <w:szCs w:val="22"/>
        </w:rPr>
      </w:pPr>
      <w:r w:rsidRPr="002A6C29">
        <w:rPr>
          <w:rFonts w:ascii="Lato" w:eastAsia="Calibri" w:hAnsi="Lato" w:cs="Tahoma"/>
          <w:sz w:val="22"/>
          <w:szCs w:val="22"/>
        </w:rPr>
        <w:t xml:space="preserve">The firm operates a simple business model.  Accordingly, many of the specific risks identified by the FCA do not apply.     </w:t>
      </w:r>
    </w:p>
    <w:p w:rsidR="008451DB" w:rsidRPr="00444408" w:rsidRDefault="008451DB" w:rsidP="002A6C29">
      <w:pPr>
        <w:rPr>
          <w:rFonts w:ascii="Lato" w:eastAsia="Calibri" w:hAnsi="Lato" w:cs="Tahoma"/>
          <w:sz w:val="22"/>
          <w:szCs w:val="22"/>
        </w:rPr>
      </w:pPr>
      <w:r w:rsidRPr="002A6C29">
        <w:rPr>
          <w:rFonts w:ascii="Playfair Display" w:hAnsi="Playfair Display" w:cs="Tahoma"/>
          <w:b/>
          <w:sz w:val="22"/>
          <w:szCs w:val="22"/>
          <w:lang w:val="en" w:eastAsia="en-GB"/>
        </w:rPr>
        <w:lastRenderedPageBreak/>
        <w:t>Capital resources</w:t>
      </w:r>
    </w:p>
    <w:p w:rsidR="008451DB" w:rsidRPr="002A6C29" w:rsidRDefault="008451DB" w:rsidP="002A6C29">
      <w:pPr>
        <w:rPr>
          <w:rFonts w:ascii="Playfair Display" w:hAnsi="Playfair Display" w:cs="Tahoma"/>
          <w:b/>
          <w:sz w:val="22"/>
          <w:szCs w:val="22"/>
          <w:lang w:val="en" w:eastAsia="en-GB"/>
        </w:rPr>
      </w:pPr>
    </w:p>
    <w:p w:rsidR="008451DB" w:rsidRPr="002A6C29" w:rsidRDefault="008451DB" w:rsidP="002A6C29">
      <w:pPr>
        <w:rPr>
          <w:rFonts w:ascii="Playfair Display" w:hAnsi="Playfair Display" w:cs="Tahoma"/>
          <w:b/>
          <w:sz w:val="22"/>
          <w:szCs w:val="22"/>
          <w:lang w:val="en" w:eastAsia="en-GB"/>
        </w:rPr>
      </w:pPr>
      <w:r w:rsidRPr="002A6C29">
        <w:rPr>
          <w:rFonts w:ascii="Playfair Display" w:hAnsi="Playfair Display" w:cs="Tahoma"/>
          <w:b/>
          <w:sz w:val="22"/>
          <w:szCs w:val="22"/>
          <w:lang w:val="en" w:eastAsia="en-GB"/>
        </w:rPr>
        <w:t>Pillar 1 requirement</w:t>
      </w:r>
    </w:p>
    <w:p w:rsidR="008451DB" w:rsidRPr="002A6C29" w:rsidRDefault="008451DB" w:rsidP="002A6C29">
      <w:pPr>
        <w:rPr>
          <w:rFonts w:ascii="Lato" w:hAnsi="Lato" w:cs="Tahoma"/>
          <w:sz w:val="22"/>
          <w:szCs w:val="22"/>
          <w:lang w:val="en" w:eastAsia="en-GB"/>
        </w:rPr>
      </w:pPr>
      <w:r w:rsidRPr="002A6C29">
        <w:rPr>
          <w:rFonts w:ascii="Lato" w:hAnsi="Lato" w:cs="Tahoma"/>
          <w:sz w:val="22"/>
          <w:szCs w:val="22"/>
          <w:lang w:val="en" w:eastAsia="en-GB"/>
        </w:rPr>
        <w:t xml:space="preserve">Thorntons Investment Management Limited is a BIPRU €50k Limited </w:t>
      </w:r>
      <w:proofErr w:type="spellStart"/>
      <w:r w:rsidRPr="002A6C29">
        <w:rPr>
          <w:rFonts w:ascii="Lato" w:hAnsi="Lato" w:cs="Tahoma"/>
          <w:sz w:val="22"/>
          <w:szCs w:val="22"/>
          <w:lang w:val="en" w:eastAsia="en-GB"/>
        </w:rPr>
        <w:t>Licence</w:t>
      </w:r>
      <w:proofErr w:type="spellEnd"/>
      <w:r w:rsidRPr="002A6C29">
        <w:rPr>
          <w:rFonts w:ascii="Lato" w:hAnsi="Lato" w:cs="Tahoma"/>
          <w:sz w:val="22"/>
          <w:szCs w:val="22"/>
          <w:lang w:val="en" w:eastAsia="en-GB"/>
        </w:rPr>
        <w:t xml:space="preserve"> Firm.   The Pillar 1 base capital requirement for the firm is to maintain capital resources equal to or </w:t>
      </w:r>
      <w:proofErr w:type="gramStart"/>
      <w:r w:rsidRPr="002A6C29">
        <w:rPr>
          <w:rFonts w:ascii="Lato" w:hAnsi="Lato" w:cs="Tahoma"/>
          <w:sz w:val="22"/>
          <w:szCs w:val="22"/>
          <w:lang w:val="en" w:eastAsia="en-GB"/>
        </w:rPr>
        <w:t>in excess of</w:t>
      </w:r>
      <w:proofErr w:type="gramEnd"/>
      <w:r w:rsidRPr="002A6C29">
        <w:rPr>
          <w:rFonts w:ascii="Lato" w:hAnsi="Lato" w:cs="Tahoma"/>
          <w:sz w:val="22"/>
          <w:szCs w:val="22"/>
          <w:lang w:val="en" w:eastAsia="en-GB"/>
        </w:rPr>
        <w:t xml:space="preserve"> the base requirement of €50,000. </w:t>
      </w:r>
    </w:p>
    <w:p w:rsidR="008451DB" w:rsidRPr="002A6C29" w:rsidRDefault="008451DB" w:rsidP="002A6C29">
      <w:pPr>
        <w:rPr>
          <w:rFonts w:ascii="Lato" w:hAnsi="Lato" w:cs="Tahoma"/>
          <w:sz w:val="22"/>
          <w:szCs w:val="22"/>
          <w:lang w:val="en" w:eastAsia="en-GB"/>
        </w:rPr>
      </w:pPr>
    </w:p>
    <w:p w:rsidR="008451DB" w:rsidRPr="002A6C29" w:rsidRDefault="006B24EB" w:rsidP="002A6C29">
      <w:pPr>
        <w:rPr>
          <w:rFonts w:ascii="Lato" w:hAnsi="Lato" w:cs="Tahoma"/>
          <w:sz w:val="22"/>
          <w:szCs w:val="22"/>
        </w:rPr>
      </w:pPr>
      <w:r w:rsidRPr="002A6C29">
        <w:rPr>
          <w:rFonts w:ascii="Lato" w:hAnsi="Lato" w:cs="Tahoma"/>
          <w:sz w:val="22"/>
          <w:szCs w:val="22"/>
        </w:rPr>
        <w:t xml:space="preserve">In accordance with GENPRU 2.1.45R (calculation of variable capital requirement for a BIPRU firm), our capital requirement has been determined as being our fixed overhead requirement and not the sum of our credit risk capital requirement and our market risk capital requirement. </w:t>
      </w:r>
    </w:p>
    <w:p w:rsidR="006B24EB" w:rsidRPr="002A6C29" w:rsidRDefault="006B24EB" w:rsidP="002A6C29">
      <w:pPr>
        <w:rPr>
          <w:rFonts w:ascii="Lato" w:hAnsi="Lato" w:cs="Tahoma"/>
          <w:sz w:val="22"/>
          <w:szCs w:val="22"/>
          <w:lang w:val="en" w:eastAsia="en-GB"/>
        </w:rPr>
      </w:pPr>
    </w:p>
    <w:p w:rsidR="008451DB" w:rsidRPr="002A6C29" w:rsidRDefault="008451DB" w:rsidP="002A6C29">
      <w:pPr>
        <w:rPr>
          <w:rFonts w:ascii="Playfair Display" w:hAnsi="Playfair Display" w:cs="Tahoma"/>
          <w:b/>
          <w:sz w:val="22"/>
          <w:szCs w:val="22"/>
          <w:lang w:val="en" w:eastAsia="en-GB"/>
        </w:rPr>
      </w:pPr>
      <w:r w:rsidRPr="002A6C29">
        <w:rPr>
          <w:rFonts w:ascii="Playfair Display" w:hAnsi="Playfair Display" w:cs="Tahoma"/>
          <w:b/>
          <w:sz w:val="22"/>
          <w:szCs w:val="22"/>
          <w:lang w:val="en" w:eastAsia="en-GB"/>
        </w:rPr>
        <w:t>Pillar 2</w:t>
      </w:r>
    </w:p>
    <w:p w:rsidR="008451DB" w:rsidRPr="002A6C29" w:rsidRDefault="008451DB" w:rsidP="002A6C29">
      <w:pPr>
        <w:rPr>
          <w:rFonts w:ascii="Lato" w:hAnsi="Lato" w:cs="Tahoma"/>
          <w:sz w:val="22"/>
          <w:szCs w:val="22"/>
          <w:lang w:val="en" w:eastAsia="en-GB"/>
        </w:rPr>
      </w:pPr>
      <w:r w:rsidRPr="002A6C29">
        <w:rPr>
          <w:rFonts w:ascii="Lato" w:hAnsi="Lato" w:cs="Tahoma"/>
          <w:sz w:val="22"/>
          <w:szCs w:val="22"/>
          <w:lang w:val="en" w:eastAsia="en-GB"/>
        </w:rPr>
        <w:t>Our overall approach to assessing the adequacy of our internal capital is set out in our ICAAP document. The ICAAP process involves separate consideration of risks to our capital combined with stress testing using scenario analysis. The level of capital required to cover risks is a function of impact and probability. We assess impact by modelling the changes in our income and expenses caused by various potential risks over a 1-year time horizon. Probability is assessed subjectively.</w:t>
      </w:r>
    </w:p>
    <w:p w:rsidR="008451DB" w:rsidRPr="002A6C29" w:rsidRDefault="008451DB" w:rsidP="002A6C29">
      <w:pPr>
        <w:rPr>
          <w:rFonts w:ascii="Lato" w:hAnsi="Lato" w:cs="Tahoma"/>
          <w:sz w:val="22"/>
          <w:szCs w:val="22"/>
          <w:lang w:val="en" w:eastAsia="en-GB"/>
        </w:rPr>
      </w:pPr>
    </w:p>
    <w:p w:rsidR="008451DB" w:rsidRPr="002A6C29" w:rsidRDefault="008451DB" w:rsidP="002A6C29">
      <w:pPr>
        <w:rPr>
          <w:rFonts w:ascii="Lato" w:hAnsi="Lato" w:cs="Tahoma"/>
          <w:sz w:val="22"/>
          <w:szCs w:val="22"/>
          <w:lang w:val="en" w:eastAsia="en-GB"/>
        </w:rPr>
      </w:pPr>
      <w:r w:rsidRPr="002A6C29">
        <w:rPr>
          <w:rFonts w:ascii="Lato" w:hAnsi="Lato" w:cs="Tahoma"/>
          <w:sz w:val="22"/>
          <w:szCs w:val="22"/>
          <w:lang w:val="en" w:eastAsia="en-GB"/>
        </w:rPr>
        <w:t xml:space="preserve">In addition, we have reviewed the outputs of our risk reviews to quantify any risks identified. This has identified </w:t>
      </w:r>
      <w:proofErr w:type="gramStart"/>
      <w:r w:rsidRPr="002A6C29">
        <w:rPr>
          <w:rFonts w:ascii="Lato" w:hAnsi="Lato" w:cs="Tahoma"/>
          <w:sz w:val="22"/>
          <w:szCs w:val="22"/>
          <w:lang w:val="en" w:eastAsia="en-GB"/>
        </w:rPr>
        <w:t>a number of</w:t>
      </w:r>
      <w:proofErr w:type="gramEnd"/>
      <w:r w:rsidRPr="002A6C29">
        <w:rPr>
          <w:rFonts w:ascii="Lato" w:hAnsi="Lato" w:cs="Tahoma"/>
          <w:sz w:val="22"/>
          <w:szCs w:val="22"/>
          <w:lang w:val="en" w:eastAsia="en-GB"/>
        </w:rPr>
        <w:t xml:space="preserve"> key business risks which we have classified against the risk categories contained in GENPRU 1.2.30R and reviewed the guidance in BIPRU 2.2.61-65.</w:t>
      </w:r>
    </w:p>
    <w:p w:rsidR="008451DB" w:rsidRPr="002A6C29" w:rsidRDefault="008451DB" w:rsidP="002A6C29">
      <w:pPr>
        <w:rPr>
          <w:rFonts w:ascii="Lato" w:hAnsi="Lato" w:cs="Tahoma"/>
          <w:sz w:val="22"/>
          <w:szCs w:val="22"/>
          <w:lang w:val="en" w:eastAsia="en-GB"/>
        </w:rPr>
      </w:pPr>
    </w:p>
    <w:p w:rsidR="008451DB" w:rsidRPr="002A6C29" w:rsidRDefault="008451DB" w:rsidP="002A6C29">
      <w:pPr>
        <w:rPr>
          <w:rFonts w:ascii="Lato" w:hAnsi="Lato" w:cs="Tahoma"/>
          <w:sz w:val="22"/>
          <w:szCs w:val="22"/>
          <w:lang w:val="en" w:eastAsia="en-GB"/>
        </w:rPr>
      </w:pPr>
      <w:r w:rsidRPr="002A6C29">
        <w:rPr>
          <w:rFonts w:ascii="Lato" w:hAnsi="Lato" w:cs="Tahoma"/>
          <w:sz w:val="22"/>
          <w:szCs w:val="22"/>
          <w:lang w:val="en" w:eastAsia="en-GB"/>
        </w:rPr>
        <w:t>Our Pillar 2 capital requirement, which is our own assessment of the minimum amount of capital that we believe is adequate against the risks identified, has been assessed as greater than our Pillar 1 requirement. There is a</w:t>
      </w:r>
      <w:r w:rsidR="006B24EB" w:rsidRPr="002A6C29">
        <w:rPr>
          <w:rFonts w:ascii="Lato" w:hAnsi="Lato" w:cs="Tahoma"/>
          <w:sz w:val="22"/>
          <w:szCs w:val="22"/>
          <w:lang w:val="en" w:eastAsia="en-GB"/>
        </w:rPr>
        <w:t xml:space="preserve"> considerable</w:t>
      </w:r>
      <w:r w:rsidRPr="002A6C29">
        <w:rPr>
          <w:rFonts w:ascii="Lato" w:hAnsi="Lato" w:cs="Tahoma"/>
          <w:sz w:val="22"/>
          <w:szCs w:val="22"/>
          <w:lang w:val="en" w:eastAsia="en-GB"/>
        </w:rPr>
        <w:t xml:space="preserve"> surplus of reserves above the capital resource requirement deemed necessary to cover the risks identified.</w:t>
      </w:r>
    </w:p>
    <w:p w:rsidR="008451DB" w:rsidRPr="002A6C29" w:rsidRDefault="008451DB" w:rsidP="002A6C29">
      <w:pPr>
        <w:rPr>
          <w:rFonts w:ascii="Lato" w:hAnsi="Lato" w:cs="Tahoma"/>
          <w:sz w:val="22"/>
          <w:szCs w:val="22"/>
          <w:lang w:val="en" w:eastAsia="en-GB"/>
        </w:rPr>
      </w:pPr>
    </w:p>
    <w:p w:rsidR="00E714CE" w:rsidRPr="002A6C29" w:rsidRDefault="008451DB" w:rsidP="002A6C29">
      <w:pPr>
        <w:rPr>
          <w:rFonts w:ascii="Playfair Display" w:eastAsia="Calibri" w:hAnsi="Playfair Display" w:cs="Tahoma"/>
          <w:b/>
          <w:sz w:val="22"/>
          <w:szCs w:val="22"/>
        </w:rPr>
      </w:pPr>
      <w:r w:rsidRPr="002A6C29">
        <w:rPr>
          <w:rFonts w:ascii="Playfair Display" w:eastAsia="Calibri" w:hAnsi="Playfair Display" w:cs="Tahoma"/>
          <w:b/>
          <w:sz w:val="22"/>
          <w:szCs w:val="22"/>
        </w:rPr>
        <w:t>Regulatory capital</w:t>
      </w:r>
    </w:p>
    <w:p w:rsidR="008451DB" w:rsidRPr="002A6C29" w:rsidRDefault="008451DB" w:rsidP="002A6C29">
      <w:pPr>
        <w:rPr>
          <w:rFonts w:ascii="Lato" w:hAnsi="Lato" w:cs="Tahoma"/>
          <w:sz w:val="22"/>
          <w:szCs w:val="22"/>
          <w:lang w:val="en" w:eastAsia="en-GB"/>
        </w:rPr>
      </w:pPr>
      <w:r w:rsidRPr="002A6C29">
        <w:rPr>
          <w:rFonts w:ascii="Lato" w:eastAsia="Calibri" w:hAnsi="Lato" w:cs="Tahoma"/>
          <w:sz w:val="22"/>
          <w:szCs w:val="22"/>
        </w:rPr>
        <w:t xml:space="preserve">The firm holds regulatory capital in accordance with the Capital Requirements Directive.   </w:t>
      </w:r>
      <w:r w:rsidRPr="002A6C29">
        <w:rPr>
          <w:rFonts w:ascii="Lato" w:hAnsi="Lato" w:cs="Tahoma"/>
          <w:sz w:val="22"/>
          <w:szCs w:val="22"/>
          <w:lang w:val="en" w:eastAsia="en-GB"/>
        </w:rPr>
        <w:t>Cap</w:t>
      </w:r>
      <w:r w:rsidR="006B24EB" w:rsidRPr="002A6C29">
        <w:rPr>
          <w:rFonts w:ascii="Lato" w:hAnsi="Lato" w:cs="Tahoma"/>
          <w:sz w:val="22"/>
          <w:szCs w:val="22"/>
          <w:lang w:val="en" w:eastAsia="en-GB"/>
        </w:rPr>
        <w:t>ital adequacy is monitored regularly</w:t>
      </w:r>
      <w:r w:rsidRPr="002A6C29">
        <w:rPr>
          <w:rFonts w:ascii="Lato" w:hAnsi="Lato" w:cs="Tahoma"/>
          <w:sz w:val="22"/>
          <w:szCs w:val="22"/>
          <w:lang w:val="en" w:eastAsia="en-GB"/>
        </w:rPr>
        <w:t xml:space="preserve"> by the firm’s Financial Controller with monthly reporting to the Board.  </w:t>
      </w:r>
    </w:p>
    <w:p w:rsidR="008451DB" w:rsidRPr="002A6C29" w:rsidRDefault="008451DB" w:rsidP="002A6C29">
      <w:pPr>
        <w:rPr>
          <w:rFonts w:ascii="Lato" w:hAnsi="Lato" w:cs="Tahoma"/>
          <w:sz w:val="22"/>
          <w:szCs w:val="22"/>
          <w:lang w:val="en" w:eastAsia="en-GB"/>
        </w:rPr>
      </w:pPr>
    </w:p>
    <w:p w:rsidR="008451DB" w:rsidRPr="002A6C29" w:rsidRDefault="008451DB" w:rsidP="002A6C29">
      <w:pPr>
        <w:spacing w:before="75" w:after="75" w:line="360" w:lineRule="atLeast"/>
        <w:outlineLvl w:val="2"/>
        <w:rPr>
          <w:rFonts w:ascii="Playfair Display" w:hAnsi="Playfair Display" w:cs="Tahoma"/>
          <w:b/>
          <w:bCs/>
          <w:sz w:val="22"/>
          <w:szCs w:val="22"/>
          <w:lang w:val="en" w:eastAsia="en-GB"/>
        </w:rPr>
      </w:pPr>
      <w:r w:rsidRPr="002A6C29">
        <w:rPr>
          <w:rFonts w:ascii="Playfair Display" w:hAnsi="Playfair Display" w:cs="Tahoma"/>
          <w:b/>
          <w:bCs/>
          <w:sz w:val="22"/>
          <w:szCs w:val="22"/>
          <w:lang w:val="en" w:eastAsia="en-GB"/>
        </w:rPr>
        <w:t>Remuneration Code Disclosure</w:t>
      </w:r>
    </w:p>
    <w:p w:rsidR="008451DB" w:rsidRPr="002A6C29" w:rsidRDefault="008451DB" w:rsidP="002A6C29">
      <w:pPr>
        <w:rPr>
          <w:rFonts w:ascii="Lato" w:hAnsi="Lato" w:cs="Tahoma"/>
          <w:sz w:val="22"/>
          <w:szCs w:val="22"/>
          <w:lang w:val="en" w:eastAsia="en-GB"/>
        </w:rPr>
      </w:pPr>
      <w:r w:rsidRPr="002A6C29">
        <w:rPr>
          <w:rFonts w:ascii="Lato" w:hAnsi="Lato" w:cs="Tahoma"/>
          <w:sz w:val="22"/>
          <w:szCs w:val="22"/>
          <w:lang w:val="en" w:eastAsia="en-GB"/>
        </w:rPr>
        <w:t>The firm is subject to the BIPRU Remuneration Code. This section provides further information on our remuneration policy.</w:t>
      </w:r>
    </w:p>
    <w:p w:rsidR="008451DB" w:rsidRPr="002A6C29" w:rsidRDefault="008451DB" w:rsidP="002A6C29">
      <w:pPr>
        <w:rPr>
          <w:rFonts w:ascii="Lato" w:hAnsi="Lato" w:cs="Tahoma"/>
          <w:sz w:val="22"/>
          <w:szCs w:val="22"/>
          <w:lang w:val="en" w:eastAsia="en-GB"/>
        </w:rPr>
      </w:pPr>
    </w:p>
    <w:p w:rsidR="002A6C29" w:rsidRPr="002A6C29" w:rsidRDefault="008451DB" w:rsidP="002A6C29">
      <w:pPr>
        <w:rPr>
          <w:rFonts w:ascii="Playfair Display" w:hAnsi="Playfair Display" w:cs="Tahoma"/>
          <w:b/>
          <w:sz w:val="22"/>
          <w:szCs w:val="22"/>
          <w:lang w:val="en" w:eastAsia="en-GB"/>
        </w:rPr>
      </w:pPr>
      <w:r w:rsidRPr="002A6C29">
        <w:rPr>
          <w:rFonts w:ascii="Playfair Display" w:hAnsi="Playfair Display" w:cs="Tahoma"/>
          <w:b/>
          <w:sz w:val="22"/>
          <w:szCs w:val="22"/>
          <w:lang w:val="en" w:eastAsia="en-GB"/>
        </w:rPr>
        <w:t>BIPRU Remuneration Code Staff</w:t>
      </w:r>
    </w:p>
    <w:p w:rsidR="003B5897" w:rsidRPr="002A6C29" w:rsidRDefault="008451DB" w:rsidP="002A6C29">
      <w:pPr>
        <w:rPr>
          <w:rFonts w:ascii="Lato" w:hAnsi="Lato" w:cs="Tahoma"/>
          <w:sz w:val="22"/>
          <w:szCs w:val="22"/>
          <w:lang w:val="en" w:eastAsia="en-GB"/>
        </w:rPr>
      </w:pPr>
      <w:r w:rsidRPr="002A6C29">
        <w:rPr>
          <w:rFonts w:ascii="Lato" w:hAnsi="Lato" w:cs="Tahoma"/>
          <w:sz w:val="22"/>
          <w:szCs w:val="22"/>
          <w:lang w:val="en" w:eastAsia="en-GB"/>
        </w:rPr>
        <w:t xml:space="preserve">We have identified, and maintain a record of, 'BIPRU Remuneration Code Staff' – i.e. staff to whom the BIPRU Remuneration Code applies.  This includes senior management and members of staff whose actions may have a material impact on a firm's risk profile.  </w:t>
      </w:r>
    </w:p>
    <w:p w:rsidR="008451DB" w:rsidRPr="002A6C29" w:rsidRDefault="008451DB" w:rsidP="002A6C29">
      <w:pPr>
        <w:rPr>
          <w:rFonts w:ascii="Lato" w:hAnsi="Lato" w:cs="Tahoma"/>
          <w:sz w:val="22"/>
          <w:szCs w:val="22"/>
          <w:lang w:val="en" w:eastAsia="en-GB"/>
        </w:rPr>
      </w:pPr>
      <w:r w:rsidRPr="002A6C29">
        <w:rPr>
          <w:rFonts w:ascii="Lato" w:hAnsi="Lato" w:cs="Tahoma"/>
          <w:sz w:val="22"/>
          <w:szCs w:val="22"/>
          <w:lang w:val="en" w:eastAsia="en-GB"/>
        </w:rPr>
        <w:t xml:space="preserve">Code Staff fall into the "senior management" and “controlled function” categories of Code Staff (rather than the "risk taker" category) for the purposes of the BIPRU Remuneration Code. </w:t>
      </w:r>
    </w:p>
    <w:p w:rsidR="008451DB" w:rsidRDefault="008451DB" w:rsidP="002A6C29">
      <w:pPr>
        <w:rPr>
          <w:rFonts w:ascii="Lato" w:hAnsi="Lato" w:cs="Tahoma"/>
          <w:sz w:val="22"/>
          <w:szCs w:val="22"/>
          <w:lang w:val="en" w:eastAsia="en-GB"/>
        </w:rPr>
      </w:pPr>
    </w:p>
    <w:p w:rsidR="0040071D" w:rsidRDefault="0040071D" w:rsidP="002A6C29">
      <w:pPr>
        <w:rPr>
          <w:rFonts w:ascii="Lato" w:hAnsi="Lato" w:cs="Tahoma"/>
          <w:sz w:val="22"/>
          <w:szCs w:val="22"/>
          <w:lang w:val="en" w:eastAsia="en-GB"/>
        </w:rPr>
      </w:pPr>
    </w:p>
    <w:p w:rsidR="0040071D" w:rsidRDefault="0040071D" w:rsidP="002A6C29">
      <w:pPr>
        <w:rPr>
          <w:rFonts w:ascii="Lato" w:hAnsi="Lato" w:cs="Tahoma"/>
          <w:sz w:val="22"/>
          <w:szCs w:val="22"/>
          <w:lang w:val="en" w:eastAsia="en-GB"/>
        </w:rPr>
      </w:pPr>
    </w:p>
    <w:p w:rsidR="0040071D" w:rsidRDefault="0040071D" w:rsidP="002A6C29">
      <w:pPr>
        <w:rPr>
          <w:rFonts w:ascii="Lato" w:hAnsi="Lato" w:cs="Tahoma"/>
          <w:sz w:val="22"/>
          <w:szCs w:val="22"/>
          <w:lang w:val="en" w:eastAsia="en-GB"/>
        </w:rPr>
      </w:pPr>
    </w:p>
    <w:p w:rsidR="0040071D" w:rsidRDefault="0040071D" w:rsidP="002A6C29">
      <w:pPr>
        <w:rPr>
          <w:rFonts w:ascii="Lato" w:hAnsi="Lato" w:cs="Tahoma"/>
          <w:sz w:val="22"/>
          <w:szCs w:val="22"/>
          <w:lang w:val="en" w:eastAsia="en-GB"/>
        </w:rPr>
      </w:pPr>
    </w:p>
    <w:p w:rsidR="0040071D" w:rsidRDefault="0040071D" w:rsidP="002A6C29">
      <w:pPr>
        <w:rPr>
          <w:rFonts w:ascii="Lato" w:hAnsi="Lato" w:cs="Tahoma"/>
          <w:sz w:val="22"/>
          <w:szCs w:val="22"/>
          <w:lang w:val="en" w:eastAsia="en-GB"/>
        </w:rPr>
      </w:pPr>
    </w:p>
    <w:p w:rsidR="0040071D" w:rsidRPr="002A6C29" w:rsidRDefault="0040071D" w:rsidP="002A6C29">
      <w:pPr>
        <w:rPr>
          <w:rFonts w:ascii="Lato" w:hAnsi="Lato" w:cs="Tahoma"/>
          <w:sz w:val="22"/>
          <w:szCs w:val="22"/>
          <w:lang w:val="en" w:eastAsia="en-GB"/>
        </w:rPr>
      </w:pPr>
    </w:p>
    <w:p w:rsidR="00C822F1" w:rsidRPr="002A6C29" w:rsidRDefault="008451DB" w:rsidP="002A6C29">
      <w:pPr>
        <w:rPr>
          <w:rFonts w:ascii="Playfair Display" w:hAnsi="Playfair Display" w:cs="Tahoma"/>
          <w:b/>
          <w:sz w:val="22"/>
          <w:szCs w:val="22"/>
          <w:lang w:val="en" w:eastAsia="en-GB"/>
        </w:rPr>
      </w:pPr>
      <w:r w:rsidRPr="002A6C29">
        <w:rPr>
          <w:rFonts w:ascii="Playfair Display" w:hAnsi="Playfair Display" w:cs="Tahoma"/>
          <w:b/>
          <w:sz w:val="22"/>
          <w:szCs w:val="22"/>
          <w:lang w:val="en" w:eastAsia="en-GB"/>
        </w:rPr>
        <w:lastRenderedPageBreak/>
        <w:t>Decision Making / Remuneration Committee</w:t>
      </w:r>
    </w:p>
    <w:p w:rsidR="008451DB" w:rsidRPr="002A6C29" w:rsidRDefault="00C822F1" w:rsidP="002A6C29">
      <w:pPr>
        <w:pStyle w:val="04Maintext"/>
        <w:jc w:val="left"/>
        <w:rPr>
          <w:rFonts w:ascii="Lato" w:hAnsi="Lato" w:cs="Tahoma"/>
          <w:color w:val="auto"/>
          <w:szCs w:val="22"/>
        </w:rPr>
      </w:pPr>
      <w:r w:rsidRPr="002A6C29">
        <w:rPr>
          <w:rFonts w:ascii="Lato" w:hAnsi="Lato" w:cs="Tahoma"/>
          <w:color w:val="auto"/>
          <w:szCs w:val="22"/>
        </w:rPr>
        <w:t>T</w:t>
      </w:r>
      <w:r w:rsidR="00D96B8F" w:rsidRPr="002A6C29">
        <w:rPr>
          <w:rFonts w:ascii="Lato" w:hAnsi="Lato" w:cs="Tahoma"/>
          <w:color w:val="auto"/>
          <w:szCs w:val="22"/>
        </w:rPr>
        <w:t>he firm’s R</w:t>
      </w:r>
      <w:r w:rsidRPr="002A6C29">
        <w:rPr>
          <w:rFonts w:ascii="Lato" w:hAnsi="Lato" w:cs="Tahoma"/>
          <w:color w:val="auto"/>
          <w:szCs w:val="22"/>
        </w:rPr>
        <w:t>emuneration Committee</w:t>
      </w:r>
      <w:r w:rsidR="00D96B8F" w:rsidRPr="002A6C29">
        <w:rPr>
          <w:rFonts w:ascii="Lato" w:hAnsi="Lato" w:cs="Tahoma"/>
          <w:color w:val="auto"/>
          <w:szCs w:val="22"/>
        </w:rPr>
        <w:t xml:space="preserve"> </w:t>
      </w:r>
      <w:r w:rsidR="00304E9B" w:rsidRPr="002A6C29">
        <w:rPr>
          <w:rFonts w:ascii="Lato" w:hAnsi="Lato" w:cs="Tahoma"/>
          <w:color w:val="auto"/>
          <w:szCs w:val="22"/>
        </w:rPr>
        <w:t xml:space="preserve">and Board </w:t>
      </w:r>
      <w:r w:rsidRPr="002A6C29">
        <w:rPr>
          <w:rFonts w:ascii="Lato" w:hAnsi="Lato" w:cs="Tahoma"/>
          <w:color w:val="auto"/>
          <w:szCs w:val="22"/>
        </w:rPr>
        <w:t>are responsible for our remuneration policy including:</w:t>
      </w:r>
    </w:p>
    <w:p w:rsidR="00517B26" w:rsidRPr="002A6C29" w:rsidRDefault="00517B26" w:rsidP="002A6C29">
      <w:pPr>
        <w:pStyle w:val="04Maintext"/>
        <w:jc w:val="left"/>
        <w:rPr>
          <w:rFonts w:ascii="Lato" w:hAnsi="Lato" w:cs="Tahoma"/>
          <w:color w:val="auto"/>
          <w:szCs w:val="22"/>
        </w:rPr>
      </w:pPr>
    </w:p>
    <w:p w:rsidR="00B8196B" w:rsidRPr="002A6C29" w:rsidRDefault="00B8196B" w:rsidP="002A6C29">
      <w:pPr>
        <w:pStyle w:val="04Maintext"/>
        <w:numPr>
          <w:ilvl w:val="0"/>
          <w:numId w:val="33"/>
        </w:numPr>
        <w:spacing w:before="120" w:after="120"/>
        <w:jc w:val="left"/>
        <w:rPr>
          <w:rFonts w:ascii="Lato" w:hAnsi="Lato" w:cs="Tahoma"/>
          <w:color w:val="auto"/>
          <w:szCs w:val="22"/>
        </w:rPr>
      </w:pPr>
      <w:r w:rsidRPr="002A6C29">
        <w:rPr>
          <w:rFonts w:ascii="Lato" w:hAnsi="Lato" w:cs="Tahoma"/>
          <w:color w:val="auto"/>
          <w:szCs w:val="22"/>
        </w:rPr>
        <w:t>Determining the framework and policy for remuneration and ensuring it does not encourage undue risk taking.</w:t>
      </w:r>
    </w:p>
    <w:p w:rsidR="00B8196B" w:rsidRPr="002A6C29" w:rsidRDefault="00B8196B" w:rsidP="002A6C29">
      <w:pPr>
        <w:pStyle w:val="04Maintext"/>
        <w:numPr>
          <w:ilvl w:val="0"/>
          <w:numId w:val="33"/>
        </w:numPr>
        <w:spacing w:before="120" w:after="120"/>
        <w:jc w:val="left"/>
        <w:rPr>
          <w:rFonts w:ascii="Lato" w:hAnsi="Lato" w:cs="Tahoma"/>
          <w:color w:val="auto"/>
          <w:szCs w:val="22"/>
        </w:rPr>
      </w:pPr>
      <w:r w:rsidRPr="002A6C29">
        <w:rPr>
          <w:rFonts w:ascii="Lato" w:hAnsi="Lato" w:cs="Tahoma"/>
          <w:color w:val="auto"/>
          <w:szCs w:val="22"/>
        </w:rPr>
        <w:t>Agreeing any major changes in remuneration structures.</w:t>
      </w:r>
    </w:p>
    <w:p w:rsidR="00B8196B" w:rsidRPr="002A6C29" w:rsidRDefault="00B8196B" w:rsidP="002A6C29">
      <w:pPr>
        <w:pStyle w:val="04Maintext"/>
        <w:numPr>
          <w:ilvl w:val="0"/>
          <w:numId w:val="33"/>
        </w:numPr>
        <w:spacing w:before="120" w:after="120"/>
        <w:jc w:val="left"/>
        <w:rPr>
          <w:rFonts w:ascii="Lato" w:hAnsi="Lato" w:cs="Tahoma"/>
          <w:color w:val="auto"/>
          <w:szCs w:val="22"/>
        </w:rPr>
      </w:pPr>
      <w:r w:rsidRPr="002A6C29">
        <w:rPr>
          <w:rFonts w:ascii="Lato" w:hAnsi="Lato" w:cs="Tahoma"/>
          <w:color w:val="auto"/>
          <w:szCs w:val="22"/>
        </w:rPr>
        <w:t xml:space="preserve">Reviewing the terms and conditions of any new incentive schemes </w:t>
      </w:r>
      <w:proofErr w:type="gramStart"/>
      <w:r w:rsidRPr="002A6C29">
        <w:rPr>
          <w:rFonts w:ascii="Lato" w:hAnsi="Lato" w:cs="Tahoma"/>
          <w:color w:val="auto"/>
          <w:szCs w:val="22"/>
        </w:rPr>
        <w:t>and in particular, considering</w:t>
      </w:r>
      <w:proofErr w:type="gramEnd"/>
      <w:r w:rsidRPr="002A6C29">
        <w:rPr>
          <w:rFonts w:ascii="Lato" w:hAnsi="Lato" w:cs="Tahoma"/>
          <w:color w:val="auto"/>
          <w:szCs w:val="22"/>
        </w:rPr>
        <w:t xml:space="preserve"> the appropriate targets for any performance related remuneration schemes.</w:t>
      </w:r>
    </w:p>
    <w:p w:rsidR="00B8196B" w:rsidRPr="002A6C29" w:rsidRDefault="00B8196B" w:rsidP="002A6C29">
      <w:pPr>
        <w:pStyle w:val="04Maintext"/>
        <w:numPr>
          <w:ilvl w:val="0"/>
          <w:numId w:val="33"/>
        </w:numPr>
        <w:spacing w:before="120" w:after="120"/>
        <w:jc w:val="left"/>
        <w:rPr>
          <w:rFonts w:ascii="Lato" w:hAnsi="Lato" w:cs="Tahoma"/>
          <w:color w:val="auto"/>
          <w:szCs w:val="22"/>
        </w:rPr>
      </w:pPr>
      <w:r w:rsidRPr="002A6C29">
        <w:rPr>
          <w:rFonts w:ascii="Lato" w:hAnsi="Lato" w:cs="Tahoma"/>
          <w:color w:val="auto"/>
          <w:szCs w:val="22"/>
        </w:rPr>
        <w:t xml:space="preserve">Considering and recommending the remuneration policy for the senior employees </w:t>
      </w:r>
      <w:proofErr w:type="gramStart"/>
      <w:r w:rsidRPr="002A6C29">
        <w:rPr>
          <w:rFonts w:ascii="Lato" w:hAnsi="Lato" w:cs="Tahoma"/>
          <w:color w:val="auto"/>
          <w:szCs w:val="22"/>
        </w:rPr>
        <w:t>taking into account</w:t>
      </w:r>
      <w:proofErr w:type="gramEnd"/>
      <w:r w:rsidRPr="002A6C29">
        <w:rPr>
          <w:rFonts w:ascii="Lato" w:hAnsi="Lato" w:cs="Tahoma"/>
          <w:color w:val="auto"/>
          <w:szCs w:val="22"/>
        </w:rPr>
        <w:t xml:space="preserve"> the appropriate mix of salary, discretionary bonus and share based remuneration.</w:t>
      </w:r>
    </w:p>
    <w:p w:rsidR="00B8196B" w:rsidRPr="002A6C29" w:rsidRDefault="00B8196B" w:rsidP="002A6C29">
      <w:pPr>
        <w:pStyle w:val="04Maintext"/>
        <w:numPr>
          <w:ilvl w:val="0"/>
          <w:numId w:val="33"/>
        </w:numPr>
        <w:spacing w:before="120" w:after="120"/>
        <w:jc w:val="left"/>
        <w:rPr>
          <w:rFonts w:ascii="Lato" w:hAnsi="Lato" w:cs="Tahoma"/>
          <w:color w:val="auto"/>
          <w:szCs w:val="22"/>
        </w:rPr>
      </w:pPr>
      <w:r w:rsidRPr="002A6C29">
        <w:rPr>
          <w:rFonts w:ascii="Lato" w:hAnsi="Lato" w:cs="Tahoma"/>
          <w:color w:val="auto"/>
          <w:szCs w:val="22"/>
        </w:rPr>
        <w:t>In determining remuneration arrangements, the Directors/Partners will give due regard to best practice and any relevant legal or regulatory requirements including the BIPRU Remuneration Code.</w:t>
      </w:r>
    </w:p>
    <w:p w:rsidR="00C822F1" w:rsidRPr="002A6C29" w:rsidRDefault="00C822F1" w:rsidP="002A6C29">
      <w:pPr>
        <w:pStyle w:val="04Maintext"/>
        <w:numPr>
          <w:ilvl w:val="0"/>
          <w:numId w:val="33"/>
        </w:numPr>
        <w:spacing w:before="120" w:after="120"/>
        <w:jc w:val="left"/>
        <w:rPr>
          <w:rFonts w:ascii="Lato" w:hAnsi="Lato" w:cs="Tahoma"/>
          <w:color w:val="auto"/>
          <w:szCs w:val="22"/>
        </w:rPr>
      </w:pPr>
      <w:r w:rsidRPr="002A6C29">
        <w:rPr>
          <w:rFonts w:ascii="Lato" w:hAnsi="Lato" w:cs="Tahoma"/>
          <w:color w:val="auto"/>
          <w:szCs w:val="22"/>
        </w:rPr>
        <w:t xml:space="preserve">New </w:t>
      </w:r>
      <w:r w:rsidR="00304E9B" w:rsidRPr="002A6C29">
        <w:rPr>
          <w:rFonts w:ascii="Lato" w:hAnsi="Lato" w:cs="Tahoma"/>
          <w:color w:val="auto"/>
          <w:szCs w:val="22"/>
        </w:rPr>
        <w:t xml:space="preserve">recruits </w:t>
      </w:r>
      <w:r w:rsidRPr="002A6C29">
        <w:rPr>
          <w:rFonts w:ascii="Lato" w:hAnsi="Lato" w:cs="Tahoma"/>
          <w:color w:val="auto"/>
          <w:szCs w:val="22"/>
        </w:rPr>
        <w:t xml:space="preserve">- approval for bonus obtained prior to offer. </w:t>
      </w:r>
    </w:p>
    <w:p w:rsidR="008451DB" w:rsidRPr="002A6C29" w:rsidRDefault="008451DB" w:rsidP="002A6C29">
      <w:pPr>
        <w:rPr>
          <w:rFonts w:ascii="Lato" w:hAnsi="Lato" w:cs="Tahoma"/>
          <w:sz w:val="22"/>
          <w:szCs w:val="22"/>
          <w:lang w:val="en" w:eastAsia="en-GB"/>
        </w:rPr>
      </w:pPr>
    </w:p>
    <w:p w:rsidR="008451DB" w:rsidRPr="002A6C29" w:rsidRDefault="008451DB" w:rsidP="002A6C29">
      <w:pPr>
        <w:rPr>
          <w:rFonts w:ascii="Playfair Display" w:hAnsi="Playfair Display" w:cs="Tahoma"/>
          <w:b/>
          <w:sz w:val="22"/>
          <w:szCs w:val="22"/>
          <w:lang w:val="en" w:eastAsia="en-GB"/>
        </w:rPr>
      </w:pPr>
      <w:r w:rsidRPr="002A6C29">
        <w:rPr>
          <w:rFonts w:ascii="Playfair Display" w:hAnsi="Playfair Display" w:cs="Tahoma"/>
          <w:b/>
          <w:sz w:val="22"/>
          <w:szCs w:val="22"/>
          <w:lang w:val="en" w:eastAsia="en-GB"/>
        </w:rPr>
        <w:t>Link between Pay &amp; Performance</w:t>
      </w:r>
    </w:p>
    <w:p w:rsidR="008451DB" w:rsidRPr="002A6C29" w:rsidRDefault="008451DB" w:rsidP="002A6C29">
      <w:pPr>
        <w:rPr>
          <w:rFonts w:ascii="Lato" w:hAnsi="Lato" w:cs="Tahoma"/>
          <w:sz w:val="22"/>
          <w:szCs w:val="22"/>
          <w:lang w:val="en" w:eastAsia="en-GB"/>
        </w:rPr>
      </w:pPr>
      <w:r w:rsidRPr="002A6C29">
        <w:rPr>
          <w:rFonts w:ascii="Lato" w:hAnsi="Lato" w:cs="Tahoma"/>
          <w:sz w:val="22"/>
          <w:szCs w:val="22"/>
          <w:lang w:val="en" w:eastAsia="en-GB"/>
        </w:rPr>
        <w:t xml:space="preserve">Competitive salaries form the basis of our firm’s remuneration package. In </w:t>
      </w:r>
      <w:r w:rsidR="00267732" w:rsidRPr="002A6C29">
        <w:rPr>
          <w:rFonts w:ascii="Lato" w:hAnsi="Lato" w:cs="Tahoma"/>
          <w:sz w:val="22"/>
          <w:szCs w:val="22"/>
          <w:lang w:val="en" w:eastAsia="en-GB"/>
        </w:rPr>
        <w:t>addition,</w:t>
      </w:r>
      <w:r w:rsidRPr="002A6C29">
        <w:rPr>
          <w:rFonts w:ascii="Lato" w:hAnsi="Lato" w:cs="Tahoma"/>
          <w:sz w:val="22"/>
          <w:szCs w:val="22"/>
          <w:lang w:val="en" w:eastAsia="en-GB"/>
        </w:rPr>
        <w:t xml:space="preserve"> the firm may consider an element of variable pay for which would be based on firm wide and individual performance. Any variable reward components awarded to employees will be based on overall contribution to the firm’s strategy and achievement.   The structure, balance and amounts may differ between individuals. Variable remuneration is not guaranteed and would be considerably reduced where subdued or negative financial performance of the firm occurs.</w:t>
      </w:r>
    </w:p>
    <w:p w:rsidR="008451DB" w:rsidRPr="002A6C29" w:rsidRDefault="008451DB" w:rsidP="002A6C29">
      <w:pPr>
        <w:rPr>
          <w:rFonts w:ascii="Lato" w:hAnsi="Lato" w:cs="Tahoma"/>
          <w:sz w:val="22"/>
          <w:szCs w:val="22"/>
          <w:lang w:val="en" w:eastAsia="en-GB"/>
        </w:rPr>
      </w:pPr>
    </w:p>
    <w:p w:rsidR="008451DB" w:rsidRPr="002A6C29" w:rsidRDefault="008451DB" w:rsidP="002A6C29">
      <w:pPr>
        <w:rPr>
          <w:rFonts w:ascii="Lato" w:hAnsi="Lato" w:cs="Tahoma"/>
          <w:sz w:val="22"/>
          <w:szCs w:val="22"/>
          <w:lang w:val="en" w:eastAsia="en-GB"/>
        </w:rPr>
      </w:pPr>
      <w:r w:rsidRPr="002A6C29">
        <w:rPr>
          <w:rFonts w:ascii="Lato" w:hAnsi="Lato" w:cs="Tahoma"/>
          <w:sz w:val="22"/>
          <w:szCs w:val="22"/>
          <w:lang w:val="en" w:eastAsia="en-GB"/>
        </w:rPr>
        <w:t>When assessing individual performance</w:t>
      </w:r>
      <w:r w:rsidR="00304E9B" w:rsidRPr="002A6C29">
        <w:rPr>
          <w:rFonts w:ascii="Lato" w:hAnsi="Lato" w:cs="Tahoma"/>
          <w:sz w:val="22"/>
          <w:szCs w:val="22"/>
          <w:lang w:val="en" w:eastAsia="en-GB"/>
        </w:rPr>
        <w:t>,</w:t>
      </w:r>
      <w:r w:rsidRPr="002A6C29">
        <w:rPr>
          <w:rFonts w:ascii="Lato" w:hAnsi="Lato" w:cs="Tahoma"/>
          <w:sz w:val="22"/>
          <w:szCs w:val="22"/>
          <w:lang w:val="en" w:eastAsia="en-GB"/>
        </w:rPr>
        <w:t xml:space="preserve"> we </w:t>
      </w:r>
      <w:r w:rsidR="00304E9B" w:rsidRPr="002A6C29">
        <w:rPr>
          <w:rFonts w:ascii="Lato" w:hAnsi="Lato" w:cs="Tahoma"/>
          <w:sz w:val="22"/>
          <w:szCs w:val="22"/>
          <w:lang w:val="en" w:eastAsia="en-GB"/>
        </w:rPr>
        <w:t xml:space="preserve">include the </w:t>
      </w:r>
      <w:r w:rsidRPr="002A6C29">
        <w:rPr>
          <w:rFonts w:ascii="Lato" w:hAnsi="Lato" w:cs="Tahoma"/>
          <w:sz w:val="22"/>
          <w:szCs w:val="22"/>
          <w:lang w:val="en" w:eastAsia="en-GB"/>
        </w:rPr>
        <w:t xml:space="preserve">qualitative criteria listed below </w:t>
      </w:r>
      <w:r w:rsidR="00304E9B" w:rsidRPr="002A6C29">
        <w:rPr>
          <w:rFonts w:ascii="Lato" w:hAnsi="Lato" w:cs="Tahoma"/>
          <w:sz w:val="22"/>
          <w:szCs w:val="22"/>
          <w:lang w:val="en" w:eastAsia="en-GB"/>
        </w:rPr>
        <w:t xml:space="preserve">(where appropriate). </w:t>
      </w:r>
    </w:p>
    <w:p w:rsidR="008451DB" w:rsidRPr="002A6C29" w:rsidRDefault="00304E9B" w:rsidP="002A6C29">
      <w:pPr>
        <w:numPr>
          <w:ilvl w:val="0"/>
          <w:numId w:val="30"/>
        </w:numPr>
        <w:spacing w:before="100" w:beforeAutospacing="1" w:after="100" w:afterAutospacing="1" w:line="360" w:lineRule="atLeast"/>
        <w:rPr>
          <w:rFonts w:ascii="Lato" w:hAnsi="Lato" w:cs="Arial"/>
          <w:sz w:val="22"/>
          <w:szCs w:val="22"/>
          <w:lang w:val="en" w:eastAsia="en-GB"/>
        </w:rPr>
      </w:pPr>
      <w:r w:rsidRPr="002A6C29">
        <w:rPr>
          <w:rFonts w:ascii="Lato" w:hAnsi="Lato" w:cs="Arial"/>
          <w:sz w:val="22"/>
          <w:szCs w:val="22"/>
          <w:lang w:val="en" w:eastAsia="en-GB"/>
        </w:rPr>
        <w:t xml:space="preserve">Investment management (including long term performance) </w:t>
      </w:r>
    </w:p>
    <w:p w:rsidR="008451DB" w:rsidRPr="002A6C29" w:rsidRDefault="008451DB" w:rsidP="002A6C29">
      <w:pPr>
        <w:numPr>
          <w:ilvl w:val="0"/>
          <w:numId w:val="30"/>
        </w:numPr>
        <w:spacing w:before="100" w:beforeAutospacing="1" w:after="100" w:afterAutospacing="1" w:line="360" w:lineRule="atLeast"/>
        <w:rPr>
          <w:rFonts w:ascii="Lato" w:hAnsi="Lato" w:cs="Arial"/>
          <w:sz w:val="22"/>
          <w:szCs w:val="22"/>
          <w:lang w:val="en" w:eastAsia="en-GB"/>
        </w:rPr>
      </w:pPr>
      <w:r w:rsidRPr="002A6C29">
        <w:rPr>
          <w:rFonts w:ascii="Lato" w:hAnsi="Lato" w:cs="Arial"/>
          <w:sz w:val="22"/>
          <w:szCs w:val="22"/>
          <w:lang w:val="en" w:eastAsia="en-GB"/>
        </w:rPr>
        <w:t>Operations.</w:t>
      </w:r>
    </w:p>
    <w:p w:rsidR="008451DB" w:rsidRPr="002A6C29" w:rsidRDefault="008451DB" w:rsidP="002A6C29">
      <w:pPr>
        <w:numPr>
          <w:ilvl w:val="0"/>
          <w:numId w:val="30"/>
        </w:numPr>
        <w:spacing w:before="100" w:beforeAutospacing="1" w:after="100" w:afterAutospacing="1" w:line="360" w:lineRule="atLeast"/>
        <w:rPr>
          <w:rFonts w:ascii="Lato" w:hAnsi="Lato" w:cs="Arial"/>
          <w:sz w:val="22"/>
          <w:szCs w:val="22"/>
          <w:lang w:val="en" w:eastAsia="en-GB"/>
        </w:rPr>
      </w:pPr>
      <w:r w:rsidRPr="002A6C29">
        <w:rPr>
          <w:rFonts w:ascii="Lato" w:hAnsi="Lato" w:cs="Arial"/>
          <w:sz w:val="22"/>
          <w:szCs w:val="22"/>
          <w:lang w:val="en" w:eastAsia="en-GB"/>
        </w:rPr>
        <w:t>Client interaction including business development</w:t>
      </w:r>
    </w:p>
    <w:p w:rsidR="008451DB" w:rsidRPr="002A6C29" w:rsidRDefault="00304E9B" w:rsidP="002A6C29">
      <w:pPr>
        <w:numPr>
          <w:ilvl w:val="0"/>
          <w:numId w:val="30"/>
        </w:numPr>
        <w:spacing w:before="100" w:beforeAutospacing="1" w:after="100" w:afterAutospacing="1" w:line="360" w:lineRule="atLeast"/>
        <w:rPr>
          <w:rFonts w:ascii="Lato" w:hAnsi="Lato" w:cs="Arial"/>
          <w:sz w:val="22"/>
          <w:szCs w:val="22"/>
          <w:lang w:val="en" w:eastAsia="en-GB"/>
        </w:rPr>
      </w:pPr>
      <w:r w:rsidRPr="002A6C29">
        <w:rPr>
          <w:rFonts w:ascii="Lato" w:hAnsi="Lato" w:cs="Arial"/>
          <w:sz w:val="22"/>
          <w:szCs w:val="22"/>
          <w:lang w:val="en" w:eastAsia="en-GB"/>
        </w:rPr>
        <w:t>Advice</w:t>
      </w:r>
      <w:r w:rsidR="008451DB" w:rsidRPr="002A6C29">
        <w:rPr>
          <w:rFonts w:ascii="Lato" w:hAnsi="Lato" w:cs="Arial"/>
          <w:sz w:val="22"/>
          <w:szCs w:val="22"/>
          <w:lang w:val="en" w:eastAsia="en-GB"/>
        </w:rPr>
        <w:t xml:space="preserve"> quality.</w:t>
      </w:r>
    </w:p>
    <w:p w:rsidR="008451DB" w:rsidRPr="002A6C29" w:rsidRDefault="008451DB" w:rsidP="002A6C29">
      <w:pPr>
        <w:numPr>
          <w:ilvl w:val="0"/>
          <w:numId w:val="30"/>
        </w:numPr>
        <w:spacing w:before="100" w:beforeAutospacing="1" w:after="100" w:afterAutospacing="1" w:line="360" w:lineRule="atLeast"/>
        <w:rPr>
          <w:rFonts w:ascii="Lato" w:hAnsi="Lato" w:cs="Arial"/>
          <w:sz w:val="22"/>
          <w:szCs w:val="22"/>
          <w:lang w:val="en" w:eastAsia="en-GB"/>
        </w:rPr>
      </w:pPr>
      <w:r w:rsidRPr="002A6C29">
        <w:rPr>
          <w:rFonts w:ascii="Lato" w:hAnsi="Lato" w:cs="Arial"/>
          <w:sz w:val="22"/>
          <w:szCs w:val="22"/>
          <w:lang w:val="en" w:eastAsia="en-GB"/>
        </w:rPr>
        <w:t>Overall performance, reliability and effectiveness.  </w:t>
      </w:r>
    </w:p>
    <w:p w:rsidR="008451DB" w:rsidRPr="002A6C29" w:rsidRDefault="008451DB" w:rsidP="002A6C29">
      <w:pPr>
        <w:rPr>
          <w:rFonts w:ascii="Playfair Display" w:hAnsi="Playfair Display" w:cs="Tahoma"/>
          <w:b/>
          <w:sz w:val="22"/>
          <w:szCs w:val="22"/>
          <w:lang w:val="en" w:eastAsia="en-GB"/>
        </w:rPr>
      </w:pPr>
      <w:r w:rsidRPr="002A6C29">
        <w:rPr>
          <w:rFonts w:ascii="Playfair Display" w:hAnsi="Playfair Display" w:cs="Tahoma"/>
          <w:b/>
          <w:sz w:val="22"/>
          <w:szCs w:val="22"/>
          <w:lang w:val="en" w:eastAsia="en-GB"/>
        </w:rPr>
        <w:t>Quantitative Information on Remuneration</w:t>
      </w:r>
    </w:p>
    <w:p w:rsidR="008451DB" w:rsidRPr="002A6C29" w:rsidRDefault="008451DB" w:rsidP="002A6C29">
      <w:pPr>
        <w:rPr>
          <w:rFonts w:ascii="Lato" w:hAnsi="Lato" w:cs="Tahoma"/>
          <w:sz w:val="22"/>
          <w:szCs w:val="22"/>
          <w:lang w:val="en" w:eastAsia="en-GB"/>
        </w:rPr>
      </w:pPr>
      <w:r w:rsidRPr="002A6C29">
        <w:rPr>
          <w:rFonts w:ascii="Lato" w:hAnsi="Lato" w:cs="Tahoma"/>
          <w:sz w:val="22"/>
          <w:szCs w:val="22"/>
          <w:lang w:val="en" w:eastAsia="en-GB"/>
        </w:rPr>
        <w:t xml:space="preserve">The FCA rules require certain firms to disclose aggregate information on remuneration in respect of its BIPRU Remuneration Code Staff broken down by business area, senior management and other Code Staff, including “risk takers”.  </w:t>
      </w:r>
    </w:p>
    <w:p w:rsidR="008451DB" w:rsidRPr="002A6C29" w:rsidRDefault="008451DB" w:rsidP="002A6C29">
      <w:pPr>
        <w:rPr>
          <w:rFonts w:ascii="Lato" w:hAnsi="Lato" w:cs="Tahoma"/>
          <w:sz w:val="22"/>
          <w:szCs w:val="22"/>
          <w:lang w:val="en" w:eastAsia="en-GB"/>
        </w:rPr>
      </w:pPr>
      <w:r w:rsidRPr="002A6C29">
        <w:rPr>
          <w:rFonts w:ascii="Lato" w:hAnsi="Lato" w:cs="Tahoma"/>
          <w:sz w:val="22"/>
          <w:szCs w:val="22"/>
          <w:lang w:val="en" w:eastAsia="en-GB"/>
        </w:rPr>
        <w:t xml:space="preserve"> </w:t>
      </w:r>
    </w:p>
    <w:p w:rsidR="008451DB" w:rsidRPr="002A6C29" w:rsidRDefault="008451DB" w:rsidP="002A6C29">
      <w:pPr>
        <w:rPr>
          <w:rFonts w:ascii="Lato" w:hAnsi="Lato" w:cs="Tahoma"/>
          <w:sz w:val="22"/>
          <w:szCs w:val="22"/>
          <w:lang w:val="en" w:eastAsia="en-GB"/>
        </w:rPr>
      </w:pPr>
      <w:r w:rsidRPr="002A6C29">
        <w:rPr>
          <w:rFonts w:ascii="Lato" w:hAnsi="Lato" w:cs="Tahoma"/>
          <w:sz w:val="22"/>
          <w:szCs w:val="22"/>
          <w:lang w:val="en" w:eastAsia="en-GB"/>
        </w:rPr>
        <w:t>The firm’s activities include Financial Planning (advisory services) and Investment Management.    The firm</w:t>
      </w:r>
      <w:r w:rsidR="004750B7" w:rsidRPr="002A6C29">
        <w:rPr>
          <w:rFonts w:ascii="Lato" w:hAnsi="Lato" w:cs="Tahoma"/>
          <w:sz w:val="22"/>
          <w:szCs w:val="22"/>
          <w:lang w:val="en" w:eastAsia="en-GB"/>
        </w:rPr>
        <w:t>’s</w:t>
      </w:r>
      <w:r w:rsidRPr="002A6C29">
        <w:rPr>
          <w:rFonts w:ascii="Lato" w:hAnsi="Lato" w:cs="Tahoma"/>
          <w:sz w:val="22"/>
          <w:szCs w:val="22"/>
          <w:lang w:val="en" w:eastAsia="en-GB"/>
        </w:rPr>
        <w:t xml:space="preserve"> </w:t>
      </w:r>
      <w:r w:rsidR="00D16736" w:rsidRPr="002A6C29">
        <w:rPr>
          <w:rFonts w:ascii="Lato" w:hAnsi="Lato" w:cs="Tahoma"/>
          <w:sz w:val="22"/>
          <w:szCs w:val="22"/>
          <w:lang w:val="en" w:eastAsia="en-GB"/>
        </w:rPr>
        <w:t>Directors</w:t>
      </w:r>
      <w:r w:rsidR="004750B7" w:rsidRPr="002A6C29">
        <w:rPr>
          <w:rFonts w:ascii="Lato" w:hAnsi="Lato" w:cs="Tahoma"/>
          <w:sz w:val="22"/>
          <w:szCs w:val="22"/>
          <w:lang w:val="en" w:eastAsia="en-GB"/>
        </w:rPr>
        <w:t xml:space="preserve">, Senior </w:t>
      </w:r>
      <w:r w:rsidR="00D16736" w:rsidRPr="002A6C29">
        <w:rPr>
          <w:rFonts w:ascii="Lato" w:hAnsi="Lato" w:cs="Tahoma"/>
          <w:sz w:val="22"/>
          <w:szCs w:val="22"/>
          <w:lang w:val="en" w:eastAsia="en-GB"/>
        </w:rPr>
        <w:t xml:space="preserve">Management </w:t>
      </w:r>
      <w:r w:rsidR="004750B7" w:rsidRPr="002A6C29">
        <w:rPr>
          <w:rFonts w:ascii="Lato" w:hAnsi="Lato" w:cs="Tahoma"/>
          <w:sz w:val="22"/>
          <w:szCs w:val="22"/>
          <w:lang w:val="en" w:eastAsia="en-GB"/>
        </w:rPr>
        <w:t xml:space="preserve">or </w:t>
      </w:r>
      <w:r w:rsidRPr="002A6C29">
        <w:rPr>
          <w:rFonts w:ascii="Lato" w:hAnsi="Lato" w:cs="Tahoma"/>
          <w:sz w:val="22"/>
          <w:szCs w:val="22"/>
          <w:lang w:val="en" w:eastAsia="en-GB"/>
        </w:rPr>
        <w:t xml:space="preserve">staff members </w:t>
      </w:r>
      <w:r w:rsidR="004750B7" w:rsidRPr="002A6C29">
        <w:rPr>
          <w:rFonts w:ascii="Lato" w:hAnsi="Lato" w:cs="Tahoma"/>
          <w:sz w:val="22"/>
          <w:szCs w:val="22"/>
          <w:lang w:val="en" w:eastAsia="en-GB"/>
        </w:rPr>
        <w:t>do not</w:t>
      </w:r>
      <w:r w:rsidRPr="002A6C29">
        <w:rPr>
          <w:rFonts w:ascii="Lato" w:hAnsi="Lato" w:cs="Tahoma"/>
          <w:sz w:val="22"/>
          <w:szCs w:val="22"/>
          <w:lang w:val="en" w:eastAsia="en-GB"/>
        </w:rPr>
        <w:t xml:space="preserve"> fall into the category of “risk takers”. The link between performance and pay is inevitable in a small firm, but the firm’s risk adverse strategy and robust risk management systems mitigate any risks.</w:t>
      </w:r>
    </w:p>
    <w:p w:rsidR="008451DB" w:rsidRPr="002A6C29" w:rsidRDefault="008451DB" w:rsidP="002A6C29">
      <w:pPr>
        <w:rPr>
          <w:rFonts w:ascii="Lato" w:hAnsi="Lato" w:cs="Tahoma"/>
          <w:sz w:val="22"/>
          <w:szCs w:val="22"/>
          <w:lang w:val="en" w:eastAsia="en-GB"/>
        </w:rPr>
      </w:pPr>
    </w:p>
    <w:p w:rsidR="008451DB" w:rsidRPr="002A6C29" w:rsidRDefault="008451DB" w:rsidP="002A6C29">
      <w:pPr>
        <w:spacing w:line="360" w:lineRule="atLeast"/>
        <w:rPr>
          <w:rFonts w:ascii="Lato" w:hAnsi="Lato" w:cs="Tahoma"/>
          <w:b/>
          <w:bCs/>
          <w:sz w:val="22"/>
          <w:szCs w:val="22"/>
          <w:u w:val="single"/>
          <w:lang w:val="en" w:eastAsia="en-GB"/>
        </w:rPr>
      </w:pPr>
    </w:p>
    <w:p w:rsidR="00457048" w:rsidRPr="002A6C29" w:rsidRDefault="00457048" w:rsidP="002A6C29">
      <w:pPr>
        <w:pStyle w:val="04Maintext"/>
        <w:ind w:left="720" w:hanging="720"/>
        <w:jc w:val="left"/>
        <w:rPr>
          <w:rFonts w:ascii="Lato" w:hAnsi="Lato" w:cs="Tahoma"/>
          <w:szCs w:val="22"/>
        </w:rPr>
      </w:pPr>
    </w:p>
    <w:p w:rsidR="00457048" w:rsidRDefault="00457048" w:rsidP="002A6C29">
      <w:pPr>
        <w:pStyle w:val="04Maintext"/>
        <w:ind w:left="720" w:hanging="720"/>
        <w:jc w:val="left"/>
        <w:rPr>
          <w:rFonts w:ascii="Lato" w:hAnsi="Lato" w:cs="Tahoma"/>
          <w:szCs w:val="22"/>
        </w:rPr>
      </w:pPr>
    </w:p>
    <w:p w:rsidR="0040071D" w:rsidRDefault="0040071D" w:rsidP="002A6C29">
      <w:pPr>
        <w:pStyle w:val="04Maintext"/>
        <w:ind w:left="720" w:hanging="720"/>
        <w:jc w:val="left"/>
        <w:rPr>
          <w:rFonts w:ascii="Lato" w:hAnsi="Lato" w:cs="Tahoma"/>
          <w:szCs w:val="22"/>
        </w:rPr>
      </w:pPr>
    </w:p>
    <w:p w:rsidR="0040071D" w:rsidRDefault="0040071D" w:rsidP="002A6C29">
      <w:pPr>
        <w:pStyle w:val="04Maintext"/>
        <w:ind w:left="720" w:hanging="720"/>
        <w:jc w:val="left"/>
        <w:rPr>
          <w:rFonts w:ascii="Lato" w:hAnsi="Lato" w:cs="Tahoma"/>
          <w:szCs w:val="22"/>
        </w:rPr>
      </w:pPr>
    </w:p>
    <w:p w:rsidR="0040071D" w:rsidRDefault="0040071D" w:rsidP="002A6C29">
      <w:pPr>
        <w:pStyle w:val="04Maintext"/>
        <w:ind w:left="720" w:hanging="720"/>
        <w:jc w:val="left"/>
        <w:rPr>
          <w:rFonts w:ascii="Lato" w:hAnsi="Lato" w:cs="Tahoma"/>
          <w:szCs w:val="22"/>
        </w:rPr>
      </w:pPr>
    </w:p>
    <w:p w:rsidR="0040071D" w:rsidRPr="002A6C29" w:rsidRDefault="0040071D" w:rsidP="002A6C29">
      <w:pPr>
        <w:pStyle w:val="04Maintext"/>
        <w:ind w:left="720" w:hanging="720"/>
        <w:jc w:val="left"/>
        <w:rPr>
          <w:rFonts w:ascii="Lato" w:hAnsi="Lato" w:cs="Tahoma"/>
          <w:szCs w:val="22"/>
        </w:rPr>
      </w:pPr>
    </w:p>
    <w:p w:rsidR="00457048" w:rsidRPr="002A6C29" w:rsidRDefault="00457048" w:rsidP="002A6C29">
      <w:pPr>
        <w:pStyle w:val="04Maintext"/>
        <w:ind w:left="720" w:hanging="720"/>
        <w:jc w:val="left"/>
        <w:rPr>
          <w:rFonts w:ascii="Lato" w:hAnsi="Lato" w:cs="Tahoma"/>
          <w:szCs w:val="22"/>
        </w:rPr>
      </w:pPr>
    </w:p>
    <w:p w:rsidR="00457048" w:rsidRPr="002A6C29" w:rsidRDefault="00457048" w:rsidP="002A6C29">
      <w:pPr>
        <w:pStyle w:val="04Maintext"/>
        <w:ind w:left="720" w:hanging="720"/>
        <w:jc w:val="left"/>
        <w:rPr>
          <w:rFonts w:ascii="Lato" w:hAnsi="Lato" w:cs="Tahoma"/>
          <w:szCs w:val="22"/>
        </w:rPr>
      </w:pPr>
    </w:p>
    <w:p w:rsidR="00457048" w:rsidRPr="002A6C29" w:rsidRDefault="00457048" w:rsidP="002A6C29">
      <w:pPr>
        <w:pStyle w:val="04Maintext"/>
        <w:ind w:left="720" w:hanging="720"/>
        <w:jc w:val="left"/>
        <w:rPr>
          <w:rFonts w:ascii="Lato" w:hAnsi="Lato" w:cs="Tahoma"/>
          <w:szCs w:val="22"/>
        </w:rPr>
      </w:pPr>
    </w:p>
    <w:p w:rsidR="00457048" w:rsidRPr="002A6C29" w:rsidRDefault="00457048" w:rsidP="002A6C29">
      <w:pPr>
        <w:pStyle w:val="04Maintext"/>
        <w:ind w:left="720" w:hanging="720"/>
        <w:jc w:val="left"/>
        <w:rPr>
          <w:rFonts w:ascii="Lato" w:hAnsi="Lato" w:cs="Tahoma"/>
          <w:szCs w:val="22"/>
        </w:rPr>
      </w:pPr>
    </w:p>
    <w:p w:rsidR="00457048" w:rsidRPr="002A6C29" w:rsidRDefault="00457048" w:rsidP="002A6C29">
      <w:pPr>
        <w:pStyle w:val="04Maintext"/>
        <w:ind w:left="720" w:hanging="720"/>
        <w:jc w:val="left"/>
        <w:rPr>
          <w:rFonts w:ascii="Lato" w:hAnsi="Lato" w:cs="Tahoma"/>
          <w:szCs w:val="22"/>
        </w:rPr>
      </w:pPr>
    </w:p>
    <w:p w:rsidR="00457048" w:rsidRPr="002A6C29" w:rsidRDefault="00457048" w:rsidP="002A6C29">
      <w:pPr>
        <w:pStyle w:val="04Maintext"/>
        <w:ind w:left="720" w:hanging="720"/>
        <w:jc w:val="left"/>
        <w:rPr>
          <w:rFonts w:ascii="Lato" w:hAnsi="Lato" w:cs="Tahoma"/>
          <w:szCs w:val="22"/>
        </w:rPr>
      </w:pPr>
    </w:p>
    <w:p w:rsidR="00457048" w:rsidRPr="002A6C29" w:rsidRDefault="00457048" w:rsidP="002A6C29">
      <w:pPr>
        <w:pStyle w:val="04Maintext"/>
        <w:ind w:left="720" w:hanging="720"/>
        <w:jc w:val="left"/>
        <w:rPr>
          <w:rFonts w:ascii="Lato" w:hAnsi="Lato" w:cs="Tahoma"/>
          <w:szCs w:val="22"/>
        </w:rPr>
      </w:pPr>
    </w:p>
    <w:p w:rsidR="00457048" w:rsidRPr="002A6C29" w:rsidRDefault="00457048" w:rsidP="002A6C29">
      <w:pPr>
        <w:pStyle w:val="04Maintext"/>
        <w:ind w:left="720" w:hanging="720"/>
        <w:jc w:val="left"/>
        <w:rPr>
          <w:rFonts w:ascii="Lato" w:hAnsi="Lato" w:cs="Tahoma"/>
          <w:szCs w:val="22"/>
        </w:rPr>
      </w:pPr>
    </w:p>
    <w:p w:rsidR="00457048" w:rsidRPr="002A6C29" w:rsidRDefault="00457048" w:rsidP="002A6C29">
      <w:pPr>
        <w:pStyle w:val="04Maintext"/>
        <w:ind w:left="720" w:hanging="720"/>
        <w:jc w:val="left"/>
        <w:rPr>
          <w:rFonts w:ascii="Lato" w:hAnsi="Lato" w:cs="Tahoma"/>
          <w:szCs w:val="22"/>
        </w:rPr>
      </w:pPr>
    </w:p>
    <w:p w:rsidR="00457048" w:rsidRPr="002A6C29" w:rsidRDefault="00457048" w:rsidP="002A6C29">
      <w:pPr>
        <w:pStyle w:val="04Maintext"/>
        <w:ind w:left="720" w:hanging="720"/>
        <w:jc w:val="left"/>
        <w:rPr>
          <w:rFonts w:ascii="Lato" w:hAnsi="Lato" w:cs="Tahoma"/>
          <w:szCs w:val="22"/>
        </w:rPr>
      </w:pPr>
    </w:p>
    <w:p w:rsidR="00457048" w:rsidRPr="002A6C29" w:rsidRDefault="00457048" w:rsidP="002A6C29">
      <w:pPr>
        <w:pStyle w:val="04Maintext"/>
        <w:ind w:left="720" w:hanging="720"/>
        <w:jc w:val="left"/>
        <w:rPr>
          <w:rFonts w:ascii="Lato" w:hAnsi="Lato" w:cs="Tahoma"/>
          <w:szCs w:val="22"/>
        </w:rPr>
      </w:pPr>
    </w:p>
    <w:p w:rsidR="004743B3" w:rsidRPr="002A6C29" w:rsidRDefault="004743B3" w:rsidP="002A6C29">
      <w:pPr>
        <w:pStyle w:val="04Maintext"/>
        <w:ind w:left="720" w:hanging="720"/>
        <w:jc w:val="left"/>
        <w:rPr>
          <w:rFonts w:ascii="Lato" w:hAnsi="Lato" w:cs="Tahoma"/>
          <w:szCs w:val="22"/>
        </w:rPr>
      </w:pPr>
    </w:p>
    <w:p w:rsidR="00165481" w:rsidRPr="002A6C29" w:rsidRDefault="00165481" w:rsidP="002A6C29">
      <w:pPr>
        <w:pStyle w:val="04Maintext"/>
        <w:ind w:left="720" w:hanging="720"/>
        <w:jc w:val="left"/>
        <w:rPr>
          <w:rFonts w:ascii="Lato" w:hAnsi="Lato" w:cs="Tahoma"/>
          <w:szCs w:val="22"/>
        </w:rPr>
      </w:pPr>
    </w:p>
    <w:p w:rsidR="00165481" w:rsidRPr="002A6C29" w:rsidRDefault="00165481" w:rsidP="002A6C29">
      <w:pPr>
        <w:pStyle w:val="04Maintext"/>
        <w:ind w:left="720" w:hanging="720"/>
        <w:jc w:val="left"/>
        <w:rPr>
          <w:rFonts w:ascii="Lato" w:hAnsi="Lato" w:cs="Tahoma"/>
          <w:szCs w:val="22"/>
        </w:rPr>
      </w:pPr>
    </w:p>
    <w:p w:rsidR="00165481" w:rsidRPr="002A6C29" w:rsidRDefault="00165481" w:rsidP="002A6C29">
      <w:pPr>
        <w:pStyle w:val="04Maintext"/>
        <w:ind w:left="720" w:hanging="720"/>
        <w:jc w:val="left"/>
        <w:rPr>
          <w:rFonts w:ascii="Lato" w:hAnsi="Lato" w:cs="Tahoma"/>
          <w:szCs w:val="22"/>
        </w:rPr>
      </w:pPr>
    </w:p>
    <w:p w:rsidR="00165481" w:rsidRPr="002A6C29" w:rsidRDefault="00165481" w:rsidP="002A6C29">
      <w:pPr>
        <w:pStyle w:val="04Maintext"/>
        <w:ind w:left="720" w:hanging="720"/>
        <w:jc w:val="left"/>
        <w:rPr>
          <w:rFonts w:ascii="Lato" w:hAnsi="Lato" w:cs="Tahoma"/>
          <w:szCs w:val="22"/>
        </w:rPr>
      </w:pPr>
    </w:p>
    <w:p w:rsidR="00165481" w:rsidRPr="002A6C29" w:rsidRDefault="00165481" w:rsidP="002A6C29">
      <w:pPr>
        <w:pStyle w:val="04Maintext"/>
        <w:ind w:left="720" w:hanging="720"/>
        <w:jc w:val="left"/>
        <w:rPr>
          <w:rFonts w:ascii="Lato" w:hAnsi="Lato" w:cs="Tahoma"/>
          <w:szCs w:val="22"/>
        </w:rPr>
      </w:pPr>
    </w:p>
    <w:p w:rsidR="00165481" w:rsidRPr="002A6C29" w:rsidRDefault="00165481" w:rsidP="002A6C29">
      <w:pPr>
        <w:pStyle w:val="04Maintext"/>
        <w:ind w:left="720" w:hanging="720"/>
        <w:jc w:val="left"/>
        <w:rPr>
          <w:rFonts w:ascii="Lato" w:hAnsi="Lato" w:cs="Tahoma"/>
          <w:szCs w:val="22"/>
        </w:rPr>
      </w:pPr>
    </w:p>
    <w:p w:rsidR="00165481" w:rsidRPr="002A6C29" w:rsidRDefault="00165481" w:rsidP="002A6C29">
      <w:pPr>
        <w:pStyle w:val="04Maintext"/>
        <w:ind w:left="720" w:hanging="720"/>
        <w:jc w:val="left"/>
        <w:rPr>
          <w:rFonts w:ascii="Lato" w:hAnsi="Lato" w:cs="Tahoma"/>
          <w:szCs w:val="22"/>
        </w:rPr>
      </w:pPr>
    </w:p>
    <w:p w:rsidR="00165481" w:rsidRPr="002A6C29" w:rsidRDefault="00165481" w:rsidP="002A6C29">
      <w:pPr>
        <w:pStyle w:val="04Maintext"/>
        <w:ind w:left="720" w:hanging="720"/>
        <w:jc w:val="left"/>
        <w:rPr>
          <w:rFonts w:ascii="Lato" w:hAnsi="Lato" w:cs="Tahoma"/>
          <w:szCs w:val="22"/>
        </w:rPr>
      </w:pPr>
    </w:p>
    <w:p w:rsidR="00165481" w:rsidRPr="002A6C29" w:rsidRDefault="00165481" w:rsidP="002A6C29">
      <w:pPr>
        <w:pStyle w:val="04Maintext"/>
        <w:ind w:left="720" w:hanging="720"/>
        <w:jc w:val="left"/>
        <w:rPr>
          <w:rFonts w:ascii="Lato" w:hAnsi="Lato" w:cs="Tahoma"/>
          <w:szCs w:val="22"/>
        </w:rPr>
      </w:pPr>
    </w:p>
    <w:p w:rsidR="00165481" w:rsidRPr="002A6C29" w:rsidRDefault="00165481" w:rsidP="002A6C29">
      <w:pPr>
        <w:pStyle w:val="04Maintext"/>
        <w:ind w:left="720" w:hanging="720"/>
        <w:jc w:val="left"/>
        <w:rPr>
          <w:rFonts w:ascii="Lato" w:hAnsi="Lato" w:cs="Tahoma"/>
          <w:szCs w:val="22"/>
        </w:rPr>
      </w:pPr>
    </w:p>
    <w:p w:rsidR="004743B3" w:rsidRPr="002A6C29" w:rsidRDefault="004743B3" w:rsidP="002A6C29">
      <w:pPr>
        <w:pStyle w:val="04Maintext"/>
        <w:ind w:left="720" w:hanging="720"/>
        <w:jc w:val="left"/>
        <w:rPr>
          <w:rFonts w:ascii="Lato" w:hAnsi="Lato" w:cs="Tahoma"/>
          <w:szCs w:val="22"/>
        </w:rPr>
      </w:pPr>
    </w:p>
    <w:p w:rsidR="004743B3" w:rsidRPr="002A6C29" w:rsidRDefault="004743B3" w:rsidP="002A6C29">
      <w:pPr>
        <w:pStyle w:val="04Maintext"/>
        <w:ind w:left="720" w:hanging="720"/>
        <w:jc w:val="left"/>
        <w:rPr>
          <w:rFonts w:ascii="Lato" w:hAnsi="Lato" w:cs="Tahoma"/>
          <w:szCs w:val="22"/>
        </w:rPr>
      </w:pPr>
    </w:p>
    <w:p w:rsidR="00165481" w:rsidRPr="002A6C29" w:rsidRDefault="00165481" w:rsidP="002A6C29">
      <w:pPr>
        <w:pStyle w:val="04Maintext"/>
        <w:ind w:left="720" w:hanging="720"/>
        <w:jc w:val="left"/>
        <w:rPr>
          <w:rFonts w:ascii="Lato" w:hAnsi="Lato" w:cs="Tahoma"/>
          <w:szCs w:val="22"/>
        </w:rPr>
      </w:pPr>
    </w:p>
    <w:p w:rsidR="004750B7" w:rsidRPr="002A6C29" w:rsidRDefault="004750B7" w:rsidP="002A6C29">
      <w:pPr>
        <w:pStyle w:val="04Maintext"/>
        <w:ind w:left="720" w:hanging="720"/>
        <w:jc w:val="left"/>
        <w:rPr>
          <w:rFonts w:ascii="Lato" w:hAnsi="Lato" w:cs="Tahoma"/>
          <w:szCs w:val="22"/>
        </w:rPr>
      </w:pPr>
    </w:p>
    <w:p w:rsidR="004750B7" w:rsidRPr="002A6C29" w:rsidRDefault="004750B7" w:rsidP="002A6C29">
      <w:pPr>
        <w:pStyle w:val="04Maintext"/>
        <w:ind w:left="720" w:hanging="720"/>
        <w:jc w:val="left"/>
        <w:rPr>
          <w:rFonts w:ascii="Lato" w:hAnsi="Lato" w:cs="Tahoma"/>
          <w:szCs w:val="22"/>
        </w:rPr>
      </w:pPr>
    </w:p>
    <w:p w:rsidR="004750B7" w:rsidRPr="002A6C29" w:rsidRDefault="004750B7" w:rsidP="002A6C29">
      <w:pPr>
        <w:pStyle w:val="04Maintext"/>
        <w:ind w:left="720" w:hanging="720"/>
        <w:jc w:val="left"/>
        <w:rPr>
          <w:rFonts w:ascii="Lato" w:hAnsi="Lato" w:cs="Tahoma"/>
          <w:szCs w:val="22"/>
        </w:rPr>
      </w:pPr>
    </w:p>
    <w:p w:rsidR="004750B7" w:rsidRPr="002A6C29" w:rsidRDefault="004750B7" w:rsidP="002A6C29">
      <w:pPr>
        <w:pStyle w:val="04Maintext"/>
        <w:ind w:left="720" w:hanging="720"/>
        <w:jc w:val="left"/>
        <w:rPr>
          <w:rFonts w:ascii="Lato" w:hAnsi="Lato" w:cs="Tahoma"/>
          <w:szCs w:val="22"/>
        </w:rPr>
      </w:pPr>
    </w:p>
    <w:p w:rsidR="004750B7" w:rsidRPr="002A6C29" w:rsidRDefault="004750B7" w:rsidP="002A6C29">
      <w:pPr>
        <w:pStyle w:val="04Maintext"/>
        <w:ind w:left="720" w:hanging="720"/>
        <w:jc w:val="left"/>
        <w:rPr>
          <w:rFonts w:ascii="Lato" w:hAnsi="Lato" w:cs="Tahoma"/>
          <w:szCs w:val="22"/>
        </w:rPr>
      </w:pPr>
    </w:p>
    <w:p w:rsidR="004750B7" w:rsidRPr="002A6C29" w:rsidRDefault="004750B7" w:rsidP="002A6C29">
      <w:pPr>
        <w:pStyle w:val="04Maintext"/>
        <w:ind w:left="720" w:hanging="720"/>
        <w:jc w:val="left"/>
        <w:rPr>
          <w:rFonts w:ascii="Lato" w:hAnsi="Lato" w:cs="Tahoma"/>
          <w:szCs w:val="22"/>
        </w:rPr>
      </w:pPr>
    </w:p>
    <w:p w:rsidR="004750B7" w:rsidRPr="002A6C29" w:rsidRDefault="004750B7" w:rsidP="002A6C29">
      <w:pPr>
        <w:pStyle w:val="04Maintext"/>
        <w:ind w:left="720" w:hanging="720"/>
        <w:jc w:val="left"/>
        <w:rPr>
          <w:rFonts w:ascii="Lato" w:hAnsi="Lato" w:cs="Tahoma"/>
          <w:szCs w:val="22"/>
        </w:rPr>
      </w:pPr>
    </w:p>
    <w:p w:rsidR="004750B7" w:rsidRPr="002A6C29" w:rsidRDefault="004750B7" w:rsidP="002A6C29">
      <w:pPr>
        <w:pStyle w:val="04Maintext"/>
        <w:ind w:left="720" w:hanging="720"/>
        <w:jc w:val="left"/>
        <w:rPr>
          <w:rFonts w:ascii="Lato" w:hAnsi="Lato" w:cs="Tahoma"/>
          <w:szCs w:val="22"/>
        </w:rPr>
      </w:pPr>
    </w:p>
    <w:p w:rsidR="0040071D" w:rsidRPr="0040071D" w:rsidRDefault="0040071D" w:rsidP="0040071D">
      <w:pPr>
        <w:keepNext/>
        <w:widowControl w:val="0"/>
        <w:autoSpaceDE w:val="0"/>
        <w:autoSpaceDN w:val="0"/>
        <w:adjustRightInd w:val="0"/>
        <w:outlineLvl w:val="1"/>
        <w:rPr>
          <w:rFonts w:ascii="Lato" w:hAnsi="Lato" w:cs="Tahoma"/>
          <w:b/>
          <w:bCs/>
          <w:iCs/>
          <w:position w:val="3"/>
          <w:sz w:val="22"/>
          <w:szCs w:val="22"/>
        </w:rPr>
      </w:pPr>
      <w:r w:rsidRPr="0040071D">
        <w:rPr>
          <w:rFonts w:ascii="Lato" w:hAnsi="Lato" w:cs="Tahoma"/>
          <w:b/>
          <w:bCs/>
          <w:iCs/>
          <w:position w:val="3"/>
          <w:sz w:val="22"/>
          <w:szCs w:val="22"/>
        </w:rPr>
        <w:t>Senior Management Sign off</w:t>
      </w:r>
    </w:p>
    <w:tbl>
      <w:tblPr>
        <w:tblpPr w:leftFromText="180" w:rightFromText="180" w:vertAnchor="page" w:horzAnchor="margin" w:tblpY="12796"/>
        <w:tblW w:w="9185" w:type="dxa"/>
        <w:tblBorders>
          <w:top w:val="single" w:sz="4" w:space="0" w:color="4F565B"/>
          <w:left w:val="single" w:sz="4" w:space="0" w:color="4F565B"/>
          <w:bottom w:val="single" w:sz="4" w:space="0" w:color="4F565B"/>
          <w:right w:val="single" w:sz="4" w:space="0" w:color="4F565B"/>
          <w:insideH w:val="single" w:sz="4" w:space="0" w:color="4F565B"/>
          <w:insideV w:val="single" w:sz="4" w:space="0" w:color="4F565B"/>
        </w:tblBorders>
        <w:tblLook w:val="04A0" w:firstRow="1" w:lastRow="0" w:firstColumn="1" w:lastColumn="0" w:noHBand="0" w:noVBand="1"/>
      </w:tblPr>
      <w:tblGrid>
        <w:gridCol w:w="1228"/>
        <w:gridCol w:w="7957"/>
      </w:tblGrid>
      <w:tr w:rsidR="0040071D" w:rsidRPr="0040071D" w:rsidTr="0040071D">
        <w:trPr>
          <w:trHeight w:val="549"/>
        </w:trPr>
        <w:tc>
          <w:tcPr>
            <w:tcW w:w="1228" w:type="dxa"/>
            <w:vMerge w:val="restart"/>
            <w:tcBorders>
              <w:top w:val="single" w:sz="4" w:space="0" w:color="4F565B"/>
              <w:left w:val="single" w:sz="4" w:space="0" w:color="4F565B"/>
              <w:right w:val="single" w:sz="4" w:space="0" w:color="4F565B"/>
            </w:tcBorders>
            <w:shd w:val="clear" w:color="auto" w:fill="B8CCE4" w:themeFill="accent1" w:themeFillTint="66"/>
            <w:hideMark/>
          </w:tcPr>
          <w:p w:rsidR="0040071D" w:rsidRPr="0040071D" w:rsidRDefault="0040071D" w:rsidP="0040071D">
            <w:pPr>
              <w:spacing w:before="60" w:after="60"/>
              <w:ind w:left="720" w:hanging="720"/>
              <w:rPr>
                <w:rFonts w:ascii="Lato" w:hAnsi="Lato" w:cs="Tahoma"/>
                <w:sz w:val="22"/>
                <w:szCs w:val="22"/>
              </w:rPr>
            </w:pPr>
            <w:r w:rsidRPr="0040071D">
              <w:rPr>
                <w:rFonts w:ascii="Lato" w:eastAsia="Calibri" w:hAnsi="Lato" w:cs="Tahoma"/>
                <w:sz w:val="22"/>
                <w:szCs w:val="22"/>
              </w:rPr>
              <w:t>Signed by:</w:t>
            </w:r>
          </w:p>
          <w:p w:rsidR="0040071D" w:rsidRPr="0040071D" w:rsidRDefault="0040071D" w:rsidP="0040071D">
            <w:pPr>
              <w:spacing w:before="60" w:after="60"/>
              <w:ind w:left="720" w:hanging="720"/>
              <w:rPr>
                <w:rFonts w:ascii="Lato" w:eastAsia="Calibri" w:hAnsi="Lato" w:cs="Tahoma"/>
                <w:sz w:val="22"/>
                <w:szCs w:val="22"/>
              </w:rPr>
            </w:pPr>
          </w:p>
        </w:tc>
        <w:tc>
          <w:tcPr>
            <w:tcW w:w="7957" w:type="dxa"/>
            <w:tcBorders>
              <w:top w:val="single" w:sz="4" w:space="0" w:color="4F565B"/>
              <w:left w:val="single" w:sz="4" w:space="0" w:color="4F565B"/>
              <w:bottom w:val="single" w:sz="4" w:space="0" w:color="4F565B"/>
              <w:right w:val="single" w:sz="4" w:space="0" w:color="4F565B"/>
            </w:tcBorders>
            <w:shd w:val="clear" w:color="auto" w:fill="auto"/>
          </w:tcPr>
          <w:p w:rsidR="0040071D" w:rsidRPr="0040071D" w:rsidRDefault="0040071D" w:rsidP="0040071D">
            <w:pPr>
              <w:spacing w:before="60" w:after="60"/>
              <w:ind w:left="720" w:hanging="720"/>
              <w:rPr>
                <w:rFonts w:ascii="Lato" w:eastAsia="Calibri" w:hAnsi="Lato" w:cs="Tahoma"/>
                <w:sz w:val="22"/>
                <w:szCs w:val="22"/>
                <w:lang w:val="en-US"/>
              </w:rPr>
            </w:pPr>
            <w:r w:rsidRPr="0040071D">
              <w:rPr>
                <w:rFonts w:ascii="Lato" w:eastAsia="Calibri" w:hAnsi="Lato" w:cs="Tahoma"/>
                <w:noProof/>
                <w:sz w:val="22"/>
                <w:szCs w:val="22"/>
                <w:lang w:val="en-US"/>
              </w:rPr>
              <w:drawing>
                <wp:inline distT="0" distB="0" distL="0" distR="0" wp14:anchorId="288A6AB2" wp14:editId="612BF638">
                  <wp:extent cx="1219200" cy="450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450850"/>
                          </a:xfrm>
                          <a:prstGeom prst="rect">
                            <a:avLst/>
                          </a:prstGeom>
                          <a:noFill/>
                        </pic:spPr>
                      </pic:pic>
                    </a:graphicData>
                  </a:graphic>
                </wp:inline>
              </w:drawing>
            </w:r>
          </w:p>
        </w:tc>
      </w:tr>
      <w:tr w:rsidR="0040071D" w:rsidRPr="0040071D" w:rsidTr="0040071D">
        <w:trPr>
          <w:trHeight w:val="549"/>
        </w:trPr>
        <w:tc>
          <w:tcPr>
            <w:tcW w:w="1228" w:type="dxa"/>
            <w:vMerge/>
            <w:tcBorders>
              <w:left w:val="single" w:sz="4" w:space="0" w:color="4F565B"/>
              <w:bottom w:val="single" w:sz="4" w:space="0" w:color="4F565B"/>
              <w:right w:val="single" w:sz="4" w:space="0" w:color="4F565B"/>
            </w:tcBorders>
            <w:shd w:val="clear" w:color="auto" w:fill="B8CCE4" w:themeFill="accent1" w:themeFillTint="66"/>
          </w:tcPr>
          <w:p w:rsidR="0040071D" w:rsidRPr="0040071D" w:rsidRDefault="0040071D" w:rsidP="0040071D">
            <w:pPr>
              <w:spacing w:before="60" w:after="60"/>
              <w:ind w:left="720" w:hanging="720"/>
              <w:rPr>
                <w:rFonts w:ascii="Lato" w:eastAsia="Calibri" w:hAnsi="Lato" w:cs="Tahoma"/>
                <w:sz w:val="22"/>
                <w:szCs w:val="22"/>
              </w:rPr>
            </w:pPr>
          </w:p>
        </w:tc>
        <w:tc>
          <w:tcPr>
            <w:tcW w:w="7957" w:type="dxa"/>
            <w:tcBorders>
              <w:top w:val="single" w:sz="4" w:space="0" w:color="4F565B"/>
              <w:left w:val="single" w:sz="4" w:space="0" w:color="4F565B"/>
              <w:bottom w:val="single" w:sz="4" w:space="0" w:color="4F565B"/>
              <w:right w:val="single" w:sz="4" w:space="0" w:color="4F565B"/>
            </w:tcBorders>
            <w:shd w:val="clear" w:color="auto" w:fill="auto"/>
          </w:tcPr>
          <w:p w:rsidR="0040071D" w:rsidRPr="0040071D" w:rsidRDefault="0040071D" w:rsidP="0040071D">
            <w:pPr>
              <w:spacing w:before="60" w:after="60"/>
              <w:ind w:left="720" w:hanging="720"/>
              <w:rPr>
                <w:rFonts w:ascii="Lato" w:eastAsia="Calibri" w:hAnsi="Lato" w:cs="Tahoma"/>
                <w:sz w:val="22"/>
                <w:szCs w:val="22"/>
                <w:lang w:val="en-US"/>
              </w:rPr>
            </w:pPr>
            <w:r w:rsidRPr="0040071D">
              <w:rPr>
                <w:rFonts w:ascii="Lato" w:eastAsia="Calibri" w:hAnsi="Lato" w:cs="Tahoma"/>
                <w:sz w:val="22"/>
                <w:szCs w:val="22"/>
                <w:lang w:val="en-US"/>
              </w:rPr>
              <w:t>COMPLIANCE OVERSIGHT.</w:t>
            </w:r>
          </w:p>
        </w:tc>
      </w:tr>
      <w:tr w:rsidR="0040071D" w:rsidRPr="0040071D" w:rsidTr="0040071D">
        <w:trPr>
          <w:trHeight w:val="549"/>
        </w:trPr>
        <w:tc>
          <w:tcPr>
            <w:tcW w:w="1228" w:type="dxa"/>
            <w:tcBorders>
              <w:top w:val="single" w:sz="4" w:space="0" w:color="4F565B"/>
              <w:left w:val="single" w:sz="4" w:space="0" w:color="4F565B"/>
              <w:bottom w:val="single" w:sz="4" w:space="0" w:color="4F565B"/>
              <w:right w:val="single" w:sz="4" w:space="0" w:color="4F565B"/>
            </w:tcBorders>
            <w:shd w:val="clear" w:color="auto" w:fill="B8CCE4" w:themeFill="accent1" w:themeFillTint="66"/>
          </w:tcPr>
          <w:p w:rsidR="0040071D" w:rsidRPr="0040071D" w:rsidRDefault="0040071D" w:rsidP="0040071D">
            <w:pPr>
              <w:spacing w:before="60" w:after="60"/>
              <w:ind w:left="720" w:hanging="720"/>
              <w:rPr>
                <w:rFonts w:ascii="Lato" w:eastAsia="Calibri" w:hAnsi="Lato" w:cs="Tahoma"/>
                <w:sz w:val="22"/>
                <w:szCs w:val="22"/>
              </w:rPr>
            </w:pPr>
            <w:r w:rsidRPr="0040071D">
              <w:rPr>
                <w:rFonts w:ascii="Lato" w:eastAsia="Calibri" w:hAnsi="Lato" w:cs="Tahoma"/>
                <w:sz w:val="22"/>
                <w:szCs w:val="22"/>
              </w:rPr>
              <w:t>Date:</w:t>
            </w:r>
          </w:p>
          <w:p w:rsidR="0040071D" w:rsidRPr="0040071D" w:rsidRDefault="0040071D" w:rsidP="0040071D">
            <w:pPr>
              <w:spacing w:before="60" w:after="60"/>
              <w:ind w:left="720" w:hanging="720"/>
              <w:rPr>
                <w:rFonts w:ascii="Lato" w:eastAsia="Calibri" w:hAnsi="Lato" w:cs="Tahoma"/>
                <w:sz w:val="22"/>
                <w:szCs w:val="22"/>
              </w:rPr>
            </w:pPr>
          </w:p>
        </w:tc>
        <w:tc>
          <w:tcPr>
            <w:tcW w:w="7957" w:type="dxa"/>
            <w:tcBorders>
              <w:top w:val="single" w:sz="4" w:space="0" w:color="4F565B"/>
              <w:left w:val="single" w:sz="4" w:space="0" w:color="4F565B"/>
              <w:bottom w:val="single" w:sz="4" w:space="0" w:color="4F565B"/>
              <w:right w:val="single" w:sz="4" w:space="0" w:color="4F565B"/>
            </w:tcBorders>
            <w:shd w:val="clear" w:color="auto" w:fill="auto"/>
          </w:tcPr>
          <w:p w:rsidR="0040071D" w:rsidRPr="0040071D" w:rsidRDefault="0040071D" w:rsidP="0040071D">
            <w:pPr>
              <w:spacing w:before="60" w:after="60"/>
              <w:ind w:left="720" w:hanging="720"/>
              <w:rPr>
                <w:rFonts w:ascii="Lato" w:eastAsia="Calibri" w:hAnsi="Lato" w:cs="Tahoma"/>
                <w:sz w:val="22"/>
                <w:szCs w:val="22"/>
                <w:lang w:val="en-US"/>
              </w:rPr>
            </w:pPr>
            <w:r w:rsidRPr="0040071D">
              <w:rPr>
                <w:rFonts w:ascii="Lato" w:eastAsia="Calibri" w:hAnsi="Lato" w:cs="Tahoma"/>
                <w:sz w:val="22"/>
                <w:szCs w:val="22"/>
                <w:lang w:val="en-US"/>
              </w:rPr>
              <w:t>2/03/18</w:t>
            </w:r>
          </w:p>
        </w:tc>
      </w:tr>
    </w:tbl>
    <w:p w:rsidR="0040071D" w:rsidRPr="0040071D" w:rsidRDefault="0040071D" w:rsidP="0040071D">
      <w:pPr>
        <w:ind w:left="720" w:hanging="720"/>
        <w:rPr>
          <w:rFonts w:ascii="Lato" w:eastAsia="Calibri" w:hAnsi="Lato" w:cs="Tahoma"/>
          <w:color w:val="404040"/>
          <w:sz w:val="22"/>
          <w:szCs w:val="22"/>
        </w:rPr>
      </w:pPr>
    </w:p>
    <w:p w:rsidR="0040071D" w:rsidRPr="0040071D" w:rsidRDefault="0040071D" w:rsidP="0040071D">
      <w:pPr>
        <w:ind w:left="720" w:hanging="720"/>
        <w:rPr>
          <w:rFonts w:ascii="Lato" w:eastAsia="Calibri" w:hAnsi="Lato" w:cs="Tahoma"/>
          <w:sz w:val="22"/>
          <w:szCs w:val="22"/>
        </w:rPr>
      </w:pPr>
      <w:r w:rsidRPr="0040071D">
        <w:rPr>
          <w:rFonts w:ascii="Lato" w:eastAsia="Calibri" w:hAnsi="Lato" w:cs="Tahoma"/>
          <w:sz w:val="22"/>
          <w:szCs w:val="22"/>
        </w:rPr>
        <w:t>These disclosures were considered by the Board/Compliance Oversight on 2</w:t>
      </w:r>
      <w:r w:rsidRPr="0040071D">
        <w:rPr>
          <w:rFonts w:ascii="Lato" w:eastAsia="Calibri" w:hAnsi="Lato" w:cs="Tahoma"/>
          <w:sz w:val="22"/>
          <w:szCs w:val="22"/>
          <w:vertAlign w:val="superscript"/>
        </w:rPr>
        <w:t>nd</w:t>
      </w:r>
      <w:r w:rsidRPr="0040071D">
        <w:rPr>
          <w:rFonts w:ascii="Lato" w:eastAsia="Calibri" w:hAnsi="Lato" w:cs="Tahoma"/>
          <w:sz w:val="22"/>
          <w:szCs w:val="22"/>
        </w:rPr>
        <w:t xml:space="preserve"> of March 2018</w:t>
      </w:r>
    </w:p>
    <w:p w:rsidR="008C4FE3" w:rsidRPr="002A6C29" w:rsidRDefault="008C4FE3" w:rsidP="002A6C29">
      <w:pPr>
        <w:pStyle w:val="04Maintext"/>
        <w:ind w:left="720" w:hanging="720"/>
        <w:jc w:val="left"/>
        <w:rPr>
          <w:rFonts w:ascii="Lato" w:hAnsi="Lato" w:cs="Tahoma"/>
          <w:szCs w:val="22"/>
        </w:rPr>
      </w:pPr>
    </w:p>
    <w:p w:rsidR="00A35D94" w:rsidRPr="002A6C29" w:rsidRDefault="004743B3" w:rsidP="002A6C29">
      <w:pPr>
        <w:pStyle w:val="04Maintext"/>
        <w:ind w:left="720" w:hanging="720"/>
        <w:jc w:val="left"/>
        <w:rPr>
          <w:rFonts w:ascii="Lato" w:hAnsi="Lato" w:cs="Tahoma"/>
          <w:szCs w:val="22"/>
        </w:rPr>
      </w:pPr>
      <w:r w:rsidRPr="002A6C29">
        <w:rPr>
          <w:rFonts w:ascii="Lato" w:hAnsi="Lato" w:cs="Tahoma"/>
          <w:szCs w:val="22"/>
        </w:rPr>
        <w:tab/>
      </w:r>
      <w:r w:rsidRPr="002A6C29">
        <w:rPr>
          <w:rFonts w:ascii="Lato" w:hAnsi="Lato" w:cs="Tahoma"/>
          <w:szCs w:val="22"/>
        </w:rPr>
        <w:tab/>
      </w:r>
    </w:p>
    <w:p w:rsidR="004743B3" w:rsidRPr="002A6C29" w:rsidRDefault="004743B3" w:rsidP="002A6C29">
      <w:pPr>
        <w:pStyle w:val="04Maintext"/>
        <w:jc w:val="left"/>
        <w:rPr>
          <w:rFonts w:ascii="Lato" w:hAnsi="Lato" w:cs="Tahoma"/>
          <w:szCs w:val="22"/>
        </w:rPr>
      </w:pPr>
    </w:p>
    <w:sectPr w:rsidR="004743B3" w:rsidRPr="002A6C29" w:rsidSect="0040071D">
      <w:footerReference w:type="default" r:id="rId11"/>
      <w:pgSz w:w="11906" w:h="16838" w:code="9"/>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4EB" w:rsidRDefault="006B24EB" w:rsidP="00A611D6">
      <w:r>
        <w:separator/>
      </w:r>
    </w:p>
  </w:endnote>
  <w:endnote w:type="continuationSeparator" w:id="0">
    <w:p w:rsidR="006B24EB" w:rsidRDefault="006B24EB" w:rsidP="00A6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Playfair Display">
    <w:panose1 w:val="00000500000000000000"/>
    <w:charset w:val="00"/>
    <w:family w:val="auto"/>
    <w:pitch w:val="variable"/>
    <w:sig w:usb0="00000207" w:usb1="00000000" w:usb2="00000000" w:usb3="00000000" w:csb0="00000097"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EB" w:rsidRPr="00433564" w:rsidRDefault="006B24EB" w:rsidP="0075726F">
    <w:pPr>
      <w:pStyle w:val="Footer"/>
      <w:jc w:val="right"/>
      <w:rPr>
        <w:rFonts w:ascii="Lato" w:hAnsi="Lato"/>
      </w:rPr>
    </w:pPr>
    <w:r w:rsidRPr="00433564">
      <w:rPr>
        <w:rFonts w:ascii="Lato" w:hAnsi="Lato"/>
        <w:sz w:val="16"/>
        <w:szCs w:val="16"/>
      </w:rPr>
      <w:t xml:space="preserve">Page </w:t>
    </w:r>
    <w:r w:rsidRPr="00433564">
      <w:rPr>
        <w:rFonts w:ascii="Lato" w:hAnsi="Lato"/>
        <w:b/>
        <w:sz w:val="16"/>
        <w:szCs w:val="16"/>
      </w:rPr>
      <w:fldChar w:fldCharType="begin"/>
    </w:r>
    <w:r w:rsidRPr="00433564">
      <w:rPr>
        <w:rFonts w:ascii="Lato" w:hAnsi="Lato"/>
        <w:b/>
        <w:sz w:val="16"/>
        <w:szCs w:val="16"/>
      </w:rPr>
      <w:instrText xml:space="preserve"> PAGE </w:instrText>
    </w:r>
    <w:r w:rsidRPr="00433564">
      <w:rPr>
        <w:rFonts w:ascii="Lato" w:hAnsi="Lato"/>
        <w:b/>
        <w:sz w:val="16"/>
        <w:szCs w:val="16"/>
      </w:rPr>
      <w:fldChar w:fldCharType="separate"/>
    </w:r>
    <w:r w:rsidR="00AB5ACD">
      <w:rPr>
        <w:rFonts w:ascii="Lato" w:hAnsi="Lato"/>
        <w:b/>
        <w:noProof/>
        <w:sz w:val="16"/>
        <w:szCs w:val="16"/>
      </w:rPr>
      <w:t>3</w:t>
    </w:r>
    <w:r w:rsidRPr="00433564">
      <w:rPr>
        <w:rFonts w:ascii="Lato" w:hAnsi="Lato"/>
        <w:b/>
        <w:sz w:val="16"/>
        <w:szCs w:val="16"/>
      </w:rPr>
      <w:fldChar w:fldCharType="end"/>
    </w:r>
    <w:r w:rsidRPr="00433564">
      <w:rPr>
        <w:rFonts w:ascii="Lato" w:hAnsi="Lato"/>
        <w:sz w:val="16"/>
        <w:szCs w:val="16"/>
      </w:rPr>
      <w:t xml:space="preserve"> of </w:t>
    </w:r>
    <w:r w:rsidRPr="00433564">
      <w:rPr>
        <w:rFonts w:ascii="Lato" w:hAnsi="Lato"/>
        <w:b/>
        <w:sz w:val="16"/>
        <w:szCs w:val="16"/>
      </w:rPr>
      <w:fldChar w:fldCharType="begin"/>
    </w:r>
    <w:r w:rsidRPr="00433564">
      <w:rPr>
        <w:rFonts w:ascii="Lato" w:hAnsi="Lato"/>
        <w:b/>
        <w:sz w:val="16"/>
        <w:szCs w:val="16"/>
      </w:rPr>
      <w:instrText xml:space="preserve"> NUMPAGES  </w:instrText>
    </w:r>
    <w:r w:rsidRPr="00433564">
      <w:rPr>
        <w:rFonts w:ascii="Lato" w:hAnsi="Lato"/>
        <w:b/>
        <w:sz w:val="16"/>
        <w:szCs w:val="16"/>
      </w:rPr>
      <w:fldChar w:fldCharType="separate"/>
    </w:r>
    <w:r w:rsidR="00AB5ACD">
      <w:rPr>
        <w:rFonts w:ascii="Lato" w:hAnsi="Lato"/>
        <w:b/>
        <w:noProof/>
        <w:sz w:val="16"/>
        <w:szCs w:val="16"/>
      </w:rPr>
      <w:t>7</w:t>
    </w:r>
    <w:r w:rsidRPr="00433564">
      <w:rPr>
        <w:rFonts w:ascii="Lato" w:hAnsi="Lato"/>
        <w:b/>
        <w:sz w:val="16"/>
        <w:szCs w:val="16"/>
      </w:rPr>
      <w:fldChar w:fldCharType="end"/>
    </w:r>
  </w:p>
  <w:p w:rsidR="006B24EB" w:rsidRPr="004750B7" w:rsidRDefault="004750B7">
    <w:pPr>
      <w:pStyle w:val="Footer"/>
      <w:rPr>
        <w:rFonts w:asciiTheme="minorHAnsi" w:hAnsiTheme="minorHAnsi"/>
        <w:sz w:val="22"/>
        <w:szCs w:val="22"/>
      </w:rPr>
    </w:pPr>
    <w:r>
      <w:rPr>
        <w:rFonts w:asciiTheme="minorHAnsi" w:hAnsiTheme="minorHAnsi"/>
        <w:sz w:val="22"/>
        <w:szCs w:val="22"/>
      </w:rPr>
      <w:t xml:space="preserve">Version </w:t>
    </w:r>
    <w:r w:rsidR="00E714CE">
      <w:rPr>
        <w:rFonts w:asciiTheme="minorHAnsi" w:hAnsiTheme="minorHAnsi"/>
        <w:sz w:val="22"/>
        <w:szCs w:val="22"/>
      </w:rPr>
      <w:t>4</w:t>
    </w:r>
    <w:r>
      <w:rPr>
        <w:rFonts w:asciiTheme="minorHAnsi" w:hAnsiTheme="minorHAnsi"/>
        <w:sz w:val="22"/>
        <w:szCs w:val="22"/>
      </w:rPr>
      <w:t>/</w:t>
    </w:r>
    <w:r w:rsidR="003B6299">
      <w:rPr>
        <w:rFonts w:asciiTheme="minorHAnsi" w:hAnsiTheme="minorHAnsi"/>
        <w:sz w:val="22"/>
        <w:szCs w:val="22"/>
      </w:rPr>
      <w:t>03.1</w:t>
    </w:r>
    <w:r w:rsidR="00433564">
      <w:rPr>
        <w:rFonts w:asciiTheme="minorHAnsi" w:hAnsiTheme="minorHAnsi"/>
        <w:sz w:val="22"/>
        <w:szCs w:val="22"/>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4EB" w:rsidRDefault="006B24EB" w:rsidP="00A611D6">
      <w:r>
        <w:separator/>
      </w:r>
    </w:p>
  </w:footnote>
  <w:footnote w:type="continuationSeparator" w:id="0">
    <w:p w:rsidR="006B24EB" w:rsidRDefault="006B24EB" w:rsidP="00A61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E6F"/>
    <w:multiLevelType w:val="hybridMultilevel"/>
    <w:tmpl w:val="07688C1A"/>
    <w:lvl w:ilvl="0" w:tplc="4EE8A6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62C43"/>
    <w:multiLevelType w:val="multilevel"/>
    <w:tmpl w:val="9E16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52D8E"/>
    <w:multiLevelType w:val="hybridMultilevel"/>
    <w:tmpl w:val="A1D6148A"/>
    <w:lvl w:ilvl="0" w:tplc="4EE8A6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118AE"/>
    <w:multiLevelType w:val="hybridMultilevel"/>
    <w:tmpl w:val="136C6B14"/>
    <w:lvl w:ilvl="0" w:tplc="5622E2C8">
      <w:start w:val="1"/>
      <w:numFmt w:val="bullet"/>
      <w:pStyle w:val="06Bulle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23CDA"/>
    <w:multiLevelType w:val="hybridMultilevel"/>
    <w:tmpl w:val="52584C30"/>
    <w:lvl w:ilvl="0" w:tplc="4EE8A6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A4439"/>
    <w:multiLevelType w:val="hybridMultilevel"/>
    <w:tmpl w:val="FEEC56AC"/>
    <w:lvl w:ilvl="0" w:tplc="4EE8A6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F366C"/>
    <w:multiLevelType w:val="hybridMultilevel"/>
    <w:tmpl w:val="398C3162"/>
    <w:lvl w:ilvl="0" w:tplc="4EE8A6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C32C50"/>
    <w:multiLevelType w:val="hybridMultilevel"/>
    <w:tmpl w:val="537ACD9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296836C6"/>
    <w:multiLevelType w:val="hybridMultilevel"/>
    <w:tmpl w:val="096CB34A"/>
    <w:lvl w:ilvl="0" w:tplc="5622E2C8">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E5803"/>
    <w:multiLevelType w:val="hybridMultilevel"/>
    <w:tmpl w:val="61741E14"/>
    <w:lvl w:ilvl="0" w:tplc="4EE8A6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0B2CAA"/>
    <w:multiLevelType w:val="hybridMultilevel"/>
    <w:tmpl w:val="12F21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6296F"/>
    <w:multiLevelType w:val="hybridMultilevel"/>
    <w:tmpl w:val="004CBCE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0E633F"/>
    <w:multiLevelType w:val="hybridMultilevel"/>
    <w:tmpl w:val="ED3A85E8"/>
    <w:lvl w:ilvl="0" w:tplc="4EE8A6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0457E2"/>
    <w:multiLevelType w:val="hybridMultilevel"/>
    <w:tmpl w:val="230A78C4"/>
    <w:lvl w:ilvl="0" w:tplc="4EE8A6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193104"/>
    <w:multiLevelType w:val="hybridMultilevel"/>
    <w:tmpl w:val="268C3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4E5DC8"/>
    <w:multiLevelType w:val="hybridMultilevel"/>
    <w:tmpl w:val="CCD0EE7A"/>
    <w:lvl w:ilvl="0" w:tplc="D8223820">
      <w:start w:val="1"/>
      <w:numFmt w:val="decimal"/>
      <w:pStyle w:val="07Bluebulletpoints"/>
      <w:lvlText w:val="%1."/>
      <w:lvlJc w:val="left"/>
      <w:pPr>
        <w:ind w:left="720" w:hanging="360"/>
      </w:pPr>
      <w:rPr>
        <w:color w:val="00366B"/>
      </w:rPr>
    </w:lvl>
    <w:lvl w:ilvl="1" w:tplc="F2A2C75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85B05"/>
    <w:multiLevelType w:val="hybridMultilevel"/>
    <w:tmpl w:val="BBEE2AC2"/>
    <w:lvl w:ilvl="0" w:tplc="4EE8A6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B84E08"/>
    <w:multiLevelType w:val="hybridMultilevel"/>
    <w:tmpl w:val="AE9ADB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850B99"/>
    <w:multiLevelType w:val="hybridMultilevel"/>
    <w:tmpl w:val="3D1A62CC"/>
    <w:lvl w:ilvl="0" w:tplc="4EE8A6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8E27EE"/>
    <w:multiLevelType w:val="hybridMultilevel"/>
    <w:tmpl w:val="1B1EB7EC"/>
    <w:lvl w:ilvl="0" w:tplc="5622E2C8">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3719D"/>
    <w:multiLevelType w:val="hybridMultilevel"/>
    <w:tmpl w:val="D696D476"/>
    <w:lvl w:ilvl="0" w:tplc="4EE8A6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5132DC"/>
    <w:multiLevelType w:val="hybridMultilevel"/>
    <w:tmpl w:val="32182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DC60EC"/>
    <w:multiLevelType w:val="hybridMultilevel"/>
    <w:tmpl w:val="AD4476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9F2F49"/>
    <w:multiLevelType w:val="multilevel"/>
    <w:tmpl w:val="796EF5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01D7823"/>
    <w:multiLevelType w:val="multilevel"/>
    <w:tmpl w:val="A84010F4"/>
    <w:lvl w:ilvl="0">
      <w:start w:val="1"/>
      <w:numFmt w:val="decimal"/>
      <w:lvlText w:val="%1."/>
      <w:lvlJc w:val="left"/>
      <w:pPr>
        <w:ind w:left="360" w:hanging="360"/>
      </w:pPr>
    </w:lvl>
    <w:lvl w:ilvl="1">
      <w:start w:val="1"/>
      <w:numFmt w:val="decimal"/>
      <w:pStyle w:val="05numberedbullets"/>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14425C"/>
    <w:multiLevelType w:val="hybridMultilevel"/>
    <w:tmpl w:val="098CB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6B27A6A"/>
    <w:multiLevelType w:val="hybridMultilevel"/>
    <w:tmpl w:val="0C34A5EC"/>
    <w:lvl w:ilvl="0" w:tplc="4EE8A6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261613"/>
    <w:multiLevelType w:val="hybridMultilevel"/>
    <w:tmpl w:val="37A645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1C51A2"/>
    <w:multiLevelType w:val="hybridMultilevel"/>
    <w:tmpl w:val="BA56EC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C43117A"/>
    <w:multiLevelType w:val="hybridMultilevel"/>
    <w:tmpl w:val="C98A6B8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E67083"/>
    <w:multiLevelType w:val="hybridMultilevel"/>
    <w:tmpl w:val="36C20C9A"/>
    <w:lvl w:ilvl="0" w:tplc="4EE8A6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A013D8"/>
    <w:multiLevelType w:val="hybridMultilevel"/>
    <w:tmpl w:val="FC563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E82867"/>
    <w:multiLevelType w:val="hybridMultilevel"/>
    <w:tmpl w:val="612A162C"/>
    <w:lvl w:ilvl="0" w:tplc="4EE8A6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
  </w:num>
  <w:num w:numId="3">
    <w:abstractNumId w:val="24"/>
  </w:num>
  <w:num w:numId="4">
    <w:abstractNumId w:val="7"/>
  </w:num>
  <w:num w:numId="5">
    <w:abstractNumId w:val="22"/>
  </w:num>
  <w:num w:numId="6">
    <w:abstractNumId w:val="21"/>
  </w:num>
  <w:num w:numId="7">
    <w:abstractNumId w:val="28"/>
  </w:num>
  <w:num w:numId="8">
    <w:abstractNumId w:val="17"/>
  </w:num>
  <w:num w:numId="9">
    <w:abstractNumId w:val="11"/>
  </w:num>
  <w:num w:numId="10">
    <w:abstractNumId w:val="19"/>
  </w:num>
  <w:num w:numId="11">
    <w:abstractNumId w:val="8"/>
  </w:num>
  <w:num w:numId="12">
    <w:abstractNumId w:val="10"/>
  </w:num>
  <w:num w:numId="13">
    <w:abstractNumId w:val="31"/>
  </w:num>
  <w:num w:numId="14">
    <w:abstractNumId w:val="26"/>
  </w:num>
  <w:num w:numId="15">
    <w:abstractNumId w:val="27"/>
  </w:num>
  <w:num w:numId="16">
    <w:abstractNumId w:val="0"/>
  </w:num>
  <w:num w:numId="17">
    <w:abstractNumId w:val="2"/>
  </w:num>
  <w:num w:numId="18">
    <w:abstractNumId w:val="32"/>
  </w:num>
  <w:num w:numId="19">
    <w:abstractNumId w:val="20"/>
  </w:num>
  <w:num w:numId="20">
    <w:abstractNumId w:val="12"/>
  </w:num>
  <w:num w:numId="21">
    <w:abstractNumId w:val="18"/>
  </w:num>
  <w:num w:numId="22">
    <w:abstractNumId w:val="5"/>
  </w:num>
  <w:num w:numId="23">
    <w:abstractNumId w:val="13"/>
  </w:num>
  <w:num w:numId="24">
    <w:abstractNumId w:val="30"/>
  </w:num>
  <w:num w:numId="25">
    <w:abstractNumId w:val="4"/>
  </w:num>
  <w:num w:numId="26">
    <w:abstractNumId w:val="16"/>
  </w:num>
  <w:num w:numId="27">
    <w:abstractNumId w:val="9"/>
  </w:num>
  <w:num w:numId="28">
    <w:abstractNumId w:val="6"/>
  </w:num>
  <w:num w:numId="29">
    <w:abstractNumId w:val="1"/>
  </w:num>
  <w:num w:numId="30">
    <w:abstractNumId w:val="23"/>
  </w:num>
  <w:num w:numId="31">
    <w:abstractNumId w:val="29"/>
  </w:num>
  <w:num w:numId="32">
    <w:abstractNumId w:val="25"/>
  </w:num>
  <w:num w:numId="3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29A"/>
    <w:rsid w:val="00017BB1"/>
    <w:rsid w:val="000202D9"/>
    <w:rsid w:val="00020669"/>
    <w:rsid w:val="000376B6"/>
    <w:rsid w:val="0005210B"/>
    <w:rsid w:val="0008479C"/>
    <w:rsid w:val="0008684A"/>
    <w:rsid w:val="00096C3F"/>
    <w:rsid w:val="000A441C"/>
    <w:rsid w:val="000E523B"/>
    <w:rsid w:val="00100BF7"/>
    <w:rsid w:val="00103C7B"/>
    <w:rsid w:val="0010745B"/>
    <w:rsid w:val="00120CD3"/>
    <w:rsid w:val="001247C2"/>
    <w:rsid w:val="00132495"/>
    <w:rsid w:val="00150638"/>
    <w:rsid w:val="001627C3"/>
    <w:rsid w:val="00165481"/>
    <w:rsid w:val="00165AFB"/>
    <w:rsid w:val="0016681D"/>
    <w:rsid w:val="001713AD"/>
    <w:rsid w:val="00183D38"/>
    <w:rsid w:val="001A4BFB"/>
    <w:rsid w:val="001A6907"/>
    <w:rsid w:val="001B78DD"/>
    <w:rsid w:val="001B7A27"/>
    <w:rsid w:val="001E21E1"/>
    <w:rsid w:val="001E4A17"/>
    <w:rsid w:val="001F06AE"/>
    <w:rsid w:val="001F41E7"/>
    <w:rsid w:val="001F5C0B"/>
    <w:rsid w:val="0020483B"/>
    <w:rsid w:val="00204DC4"/>
    <w:rsid w:val="00211714"/>
    <w:rsid w:val="00245B9A"/>
    <w:rsid w:val="002519AE"/>
    <w:rsid w:val="00253D8B"/>
    <w:rsid w:val="002559FB"/>
    <w:rsid w:val="0026766D"/>
    <w:rsid w:val="00267732"/>
    <w:rsid w:val="0029418E"/>
    <w:rsid w:val="00294B18"/>
    <w:rsid w:val="002969B9"/>
    <w:rsid w:val="002A6C29"/>
    <w:rsid w:val="002C3A93"/>
    <w:rsid w:val="002D0847"/>
    <w:rsid w:val="002F2D52"/>
    <w:rsid w:val="00304E9B"/>
    <w:rsid w:val="003230D1"/>
    <w:rsid w:val="0032433D"/>
    <w:rsid w:val="003274A1"/>
    <w:rsid w:val="003460E5"/>
    <w:rsid w:val="003536F1"/>
    <w:rsid w:val="0036095B"/>
    <w:rsid w:val="003647FB"/>
    <w:rsid w:val="00377AA9"/>
    <w:rsid w:val="00386C56"/>
    <w:rsid w:val="003A24A2"/>
    <w:rsid w:val="003B5189"/>
    <w:rsid w:val="003B5878"/>
    <w:rsid w:val="003B5897"/>
    <w:rsid w:val="003B6299"/>
    <w:rsid w:val="003C1038"/>
    <w:rsid w:val="003D314F"/>
    <w:rsid w:val="003D6B99"/>
    <w:rsid w:val="003E4B51"/>
    <w:rsid w:val="0040071D"/>
    <w:rsid w:val="004076C0"/>
    <w:rsid w:val="00413C37"/>
    <w:rsid w:val="00413EA1"/>
    <w:rsid w:val="00415564"/>
    <w:rsid w:val="00426ECA"/>
    <w:rsid w:val="0042714E"/>
    <w:rsid w:val="00433564"/>
    <w:rsid w:val="00440582"/>
    <w:rsid w:val="00444408"/>
    <w:rsid w:val="00451175"/>
    <w:rsid w:val="00457048"/>
    <w:rsid w:val="00463553"/>
    <w:rsid w:val="004743B3"/>
    <w:rsid w:val="004750B7"/>
    <w:rsid w:val="00480EF4"/>
    <w:rsid w:val="004A03DA"/>
    <w:rsid w:val="004B7A38"/>
    <w:rsid w:val="004D1FE9"/>
    <w:rsid w:val="004D2C22"/>
    <w:rsid w:val="004D3B68"/>
    <w:rsid w:val="0050477E"/>
    <w:rsid w:val="00517B26"/>
    <w:rsid w:val="00522F72"/>
    <w:rsid w:val="00551E7B"/>
    <w:rsid w:val="005571E6"/>
    <w:rsid w:val="005620A0"/>
    <w:rsid w:val="00572177"/>
    <w:rsid w:val="0059088F"/>
    <w:rsid w:val="00591D8F"/>
    <w:rsid w:val="00592A29"/>
    <w:rsid w:val="00593E45"/>
    <w:rsid w:val="005A27C1"/>
    <w:rsid w:val="005B5E9B"/>
    <w:rsid w:val="005B66CF"/>
    <w:rsid w:val="005C559C"/>
    <w:rsid w:val="005D01D7"/>
    <w:rsid w:val="005D029F"/>
    <w:rsid w:val="005D2821"/>
    <w:rsid w:val="005D2BAA"/>
    <w:rsid w:val="005D42F0"/>
    <w:rsid w:val="005D61D8"/>
    <w:rsid w:val="005E1F57"/>
    <w:rsid w:val="005E2153"/>
    <w:rsid w:val="005E447F"/>
    <w:rsid w:val="006302C6"/>
    <w:rsid w:val="00635835"/>
    <w:rsid w:val="0063672D"/>
    <w:rsid w:val="00640899"/>
    <w:rsid w:val="006720C2"/>
    <w:rsid w:val="006758D4"/>
    <w:rsid w:val="00683916"/>
    <w:rsid w:val="006960C2"/>
    <w:rsid w:val="006B24EB"/>
    <w:rsid w:val="006B6621"/>
    <w:rsid w:val="006B6B91"/>
    <w:rsid w:val="006D21A2"/>
    <w:rsid w:val="006D5B2C"/>
    <w:rsid w:val="006D77B6"/>
    <w:rsid w:val="006F7ECE"/>
    <w:rsid w:val="00713DED"/>
    <w:rsid w:val="00714188"/>
    <w:rsid w:val="007252D9"/>
    <w:rsid w:val="00725DFE"/>
    <w:rsid w:val="007323A0"/>
    <w:rsid w:val="007350B7"/>
    <w:rsid w:val="0075726F"/>
    <w:rsid w:val="007771F7"/>
    <w:rsid w:val="007F2506"/>
    <w:rsid w:val="008028FB"/>
    <w:rsid w:val="008451DB"/>
    <w:rsid w:val="00860730"/>
    <w:rsid w:val="00862DB2"/>
    <w:rsid w:val="00867BFF"/>
    <w:rsid w:val="00883318"/>
    <w:rsid w:val="008A1517"/>
    <w:rsid w:val="008A211D"/>
    <w:rsid w:val="008A71D6"/>
    <w:rsid w:val="008B25AC"/>
    <w:rsid w:val="008B34C3"/>
    <w:rsid w:val="008B5CDB"/>
    <w:rsid w:val="008C4FE3"/>
    <w:rsid w:val="008D64E0"/>
    <w:rsid w:val="008E28AF"/>
    <w:rsid w:val="00916BED"/>
    <w:rsid w:val="00945F35"/>
    <w:rsid w:val="00956593"/>
    <w:rsid w:val="00970014"/>
    <w:rsid w:val="0097719C"/>
    <w:rsid w:val="009807E1"/>
    <w:rsid w:val="009A685D"/>
    <w:rsid w:val="009C6E74"/>
    <w:rsid w:val="009E129A"/>
    <w:rsid w:val="009F0ADF"/>
    <w:rsid w:val="00A01FE5"/>
    <w:rsid w:val="00A03663"/>
    <w:rsid w:val="00A03D37"/>
    <w:rsid w:val="00A04F3D"/>
    <w:rsid w:val="00A05D25"/>
    <w:rsid w:val="00A16E63"/>
    <w:rsid w:val="00A1731B"/>
    <w:rsid w:val="00A21712"/>
    <w:rsid w:val="00A22C6A"/>
    <w:rsid w:val="00A35D94"/>
    <w:rsid w:val="00A4489C"/>
    <w:rsid w:val="00A51461"/>
    <w:rsid w:val="00A611D6"/>
    <w:rsid w:val="00A61CAF"/>
    <w:rsid w:val="00A8120D"/>
    <w:rsid w:val="00A84FA7"/>
    <w:rsid w:val="00A86333"/>
    <w:rsid w:val="00A91B47"/>
    <w:rsid w:val="00AB5ACD"/>
    <w:rsid w:val="00AC7583"/>
    <w:rsid w:val="00AF43B0"/>
    <w:rsid w:val="00B10C1E"/>
    <w:rsid w:val="00B13519"/>
    <w:rsid w:val="00B241F0"/>
    <w:rsid w:val="00B25DD2"/>
    <w:rsid w:val="00B314D6"/>
    <w:rsid w:val="00B40390"/>
    <w:rsid w:val="00B42219"/>
    <w:rsid w:val="00B463D5"/>
    <w:rsid w:val="00B70ED0"/>
    <w:rsid w:val="00B716AA"/>
    <w:rsid w:val="00B75737"/>
    <w:rsid w:val="00B8196B"/>
    <w:rsid w:val="00B832F5"/>
    <w:rsid w:val="00BA4F38"/>
    <w:rsid w:val="00BB3CD5"/>
    <w:rsid w:val="00BC23A3"/>
    <w:rsid w:val="00BC359E"/>
    <w:rsid w:val="00BC705B"/>
    <w:rsid w:val="00BD4E9A"/>
    <w:rsid w:val="00C06A05"/>
    <w:rsid w:val="00C156BA"/>
    <w:rsid w:val="00C15E4F"/>
    <w:rsid w:val="00C176B8"/>
    <w:rsid w:val="00C25DAB"/>
    <w:rsid w:val="00C3764E"/>
    <w:rsid w:val="00C4290D"/>
    <w:rsid w:val="00C52A11"/>
    <w:rsid w:val="00C56955"/>
    <w:rsid w:val="00C752CE"/>
    <w:rsid w:val="00C76EB3"/>
    <w:rsid w:val="00C80A33"/>
    <w:rsid w:val="00C822F1"/>
    <w:rsid w:val="00C91101"/>
    <w:rsid w:val="00CA082B"/>
    <w:rsid w:val="00CB0778"/>
    <w:rsid w:val="00CD3B23"/>
    <w:rsid w:val="00CE672F"/>
    <w:rsid w:val="00D053B6"/>
    <w:rsid w:val="00D1311E"/>
    <w:rsid w:val="00D16736"/>
    <w:rsid w:val="00D211BC"/>
    <w:rsid w:val="00D21AA3"/>
    <w:rsid w:val="00D21EAC"/>
    <w:rsid w:val="00D22D63"/>
    <w:rsid w:val="00D266F7"/>
    <w:rsid w:val="00D33711"/>
    <w:rsid w:val="00D50FBD"/>
    <w:rsid w:val="00D57D5E"/>
    <w:rsid w:val="00D612A2"/>
    <w:rsid w:val="00D6497B"/>
    <w:rsid w:val="00D64E8F"/>
    <w:rsid w:val="00D6572A"/>
    <w:rsid w:val="00D81561"/>
    <w:rsid w:val="00D93212"/>
    <w:rsid w:val="00D935BE"/>
    <w:rsid w:val="00D96B8F"/>
    <w:rsid w:val="00DA6E8B"/>
    <w:rsid w:val="00DA754F"/>
    <w:rsid w:val="00DD0BDF"/>
    <w:rsid w:val="00DE41CF"/>
    <w:rsid w:val="00DE66DC"/>
    <w:rsid w:val="00DF1075"/>
    <w:rsid w:val="00DF1D18"/>
    <w:rsid w:val="00E07A9B"/>
    <w:rsid w:val="00E14225"/>
    <w:rsid w:val="00E21BEA"/>
    <w:rsid w:val="00E276EB"/>
    <w:rsid w:val="00E36C85"/>
    <w:rsid w:val="00E4406C"/>
    <w:rsid w:val="00E44FF3"/>
    <w:rsid w:val="00E714CE"/>
    <w:rsid w:val="00E902CA"/>
    <w:rsid w:val="00E912C0"/>
    <w:rsid w:val="00E93E40"/>
    <w:rsid w:val="00EB2045"/>
    <w:rsid w:val="00EB4D08"/>
    <w:rsid w:val="00EB60F8"/>
    <w:rsid w:val="00EE038F"/>
    <w:rsid w:val="00EF1191"/>
    <w:rsid w:val="00EF496C"/>
    <w:rsid w:val="00EF5954"/>
    <w:rsid w:val="00F10DBC"/>
    <w:rsid w:val="00F12529"/>
    <w:rsid w:val="00F14120"/>
    <w:rsid w:val="00F14B3D"/>
    <w:rsid w:val="00F246CB"/>
    <w:rsid w:val="00F277CB"/>
    <w:rsid w:val="00F57EC1"/>
    <w:rsid w:val="00F65105"/>
    <w:rsid w:val="00F668E7"/>
    <w:rsid w:val="00F670C7"/>
    <w:rsid w:val="00F67B42"/>
    <w:rsid w:val="00F85C99"/>
    <w:rsid w:val="00F85F3F"/>
    <w:rsid w:val="00F976AF"/>
    <w:rsid w:val="00FB11D5"/>
    <w:rsid w:val="00FD3BF8"/>
    <w:rsid w:val="00FD3CBA"/>
    <w:rsid w:val="00FD43A2"/>
    <w:rsid w:val="00FE1E20"/>
    <w:rsid w:val="00FE3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8DFA0E5F-3B4B-44BC-A78C-13E93896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E129A"/>
    <w:rPr>
      <w:rFonts w:ascii="Times New Roman" w:eastAsia="Times New Roman" w:hAnsi="Times New Roman"/>
      <w:sz w:val="24"/>
      <w:lang w:eastAsia="en-US"/>
    </w:rPr>
  </w:style>
  <w:style w:type="paragraph" w:styleId="Heading1">
    <w:name w:val="heading 1"/>
    <w:basedOn w:val="Normal"/>
    <w:next w:val="Normal"/>
    <w:link w:val="Heading1Char"/>
    <w:autoRedefine/>
    <w:uiPriority w:val="9"/>
    <w:rsid w:val="00A61CAF"/>
    <w:pPr>
      <w:keepNext/>
      <w:keepLines/>
      <w:outlineLvl w:val="0"/>
    </w:pPr>
    <w:rPr>
      <w:rFonts w:ascii="Calibri" w:hAnsi="Calibri"/>
      <w:b/>
      <w:bCs/>
      <w:color w:val="365F91"/>
      <w:sz w:val="28"/>
      <w:szCs w:val="28"/>
    </w:rPr>
  </w:style>
  <w:style w:type="paragraph" w:styleId="Heading2">
    <w:name w:val="heading 2"/>
    <w:basedOn w:val="Normal"/>
    <w:next w:val="Normal"/>
    <w:link w:val="Heading2Char"/>
    <w:autoRedefine/>
    <w:uiPriority w:val="9"/>
    <w:unhideWhenUsed/>
    <w:rsid w:val="00E21BEA"/>
    <w:pPr>
      <w:keepNext/>
      <w:keepLines/>
      <w:outlineLvl w:val="1"/>
    </w:pPr>
    <w:rPr>
      <w:rFonts w:ascii="Calibri" w:hAnsi="Calibri"/>
      <w:b/>
      <w:bCs/>
      <w:sz w:val="26"/>
      <w:szCs w:val="26"/>
      <w:u w:val="single"/>
    </w:rPr>
  </w:style>
  <w:style w:type="paragraph" w:styleId="Heading3">
    <w:name w:val="heading 3"/>
    <w:aliases w:val="Subtitle1"/>
    <w:basedOn w:val="Normal"/>
    <w:next w:val="Normal"/>
    <w:link w:val="Heading3Char"/>
    <w:autoRedefine/>
    <w:uiPriority w:val="9"/>
    <w:unhideWhenUsed/>
    <w:rsid w:val="00E21BEA"/>
    <w:pPr>
      <w:keepNext/>
      <w:keepLines/>
      <w:spacing w:before="200"/>
      <w:outlineLvl w:val="2"/>
    </w:pPr>
    <w:rPr>
      <w:rFonts w:ascii="Calibri" w:hAnsi="Calibri"/>
      <w:b/>
      <w:bCs/>
    </w:rPr>
  </w:style>
  <w:style w:type="paragraph" w:styleId="Heading4">
    <w:name w:val="heading 4"/>
    <w:basedOn w:val="Normal"/>
    <w:next w:val="Normal"/>
    <w:link w:val="Heading4Char"/>
    <w:autoRedefine/>
    <w:uiPriority w:val="9"/>
    <w:unhideWhenUsed/>
    <w:rsid w:val="00A61CAF"/>
    <w:pPr>
      <w:keepNext/>
      <w:keepLines/>
      <w:outlineLvl w:val="3"/>
    </w:pPr>
    <w:rPr>
      <w:rFonts w:ascii="Calibri" w:hAnsi="Calibri"/>
      <w:b/>
      <w:bCs/>
      <w:i/>
      <w:iCs/>
      <w:sz w:val="20"/>
    </w:rPr>
  </w:style>
  <w:style w:type="paragraph" w:styleId="Heading5">
    <w:name w:val="heading 5"/>
    <w:basedOn w:val="Normal"/>
    <w:next w:val="Normal"/>
    <w:link w:val="Heading5Char"/>
    <w:autoRedefine/>
    <w:uiPriority w:val="9"/>
    <w:unhideWhenUsed/>
    <w:rsid w:val="00A61CAF"/>
    <w:pPr>
      <w:keepNext/>
      <w:keepLines/>
      <w:outlineLvl w:val="4"/>
    </w:pPr>
    <w:rPr>
      <w:rFonts w:ascii="Calibri" w:hAnsi="Calibri"/>
      <w:sz w:val="20"/>
    </w:rPr>
  </w:style>
  <w:style w:type="paragraph" w:styleId="Heading6">
    <w:name w:val="heading 6"/>
    <w:basedOn w:val="Normal"/>
    <w:next w:val="Normal"/>
    <w:link w:val="Heading6Char"/>
    <w:uiPriority w:val="9"/>
    <w:semiHidden/>
    <w:unhideWhenUsed/>
    <w:rsid w:val="00DF1075"/>
    <w:pPr>
      <w:keepNext/>
      <w:keepLines/>
      <w:spacing w:before="200"/>
      <w:outlineLvl w:val="5"/>
    </w:pPr>
    <w:rPr>
      <w:rFonts w:ascii="Calibri" w:hAnsi="Calibri"/>
      <w:i/>
      <w:iCs/>
      <w:color w:val="34393D"/>
      <w:sz w:val="20"/>
    </w:rPr>
  </w:style>
  <w:style w:type="paragraph" w:styleId="Heading7">
    <w:name w:val="heading 7"/>
    <w:basedOn w:val="Normal"/>
    <w:next w:val="Normal"/>
    <w:link w:val="Heading7Char"/>
    <w:uiPriority w:val="9"/>
    <w:unhideWhenUsed/>
    <w:qFormat/>
    <w:rsid w:val="00B314D6"/>
    <w:pPr>
      <w:keepNext/>
      <w:keepLines/>
      <w:spacing w:before="200"/>
      <w:outlineLvl w:val="6"/>
    </w:pPr>
    <w:rPr>
      <w:rFonts w:ascii="Calibri" w:hAnsi="Calibri"/>
      <w:i/>
      <w:iCs/>
      <w:color w:val="404040"/>
      <w:sz w:val="20"/>
    </w:rPr>
  </w:style>
  <w:style w:type="paragraph" w:styleId="Heading8">
    <w:name w:val="heading 8"/>
    <w:basedOn w:val="Normal"/>
    <w:next w:val="Normal"/>
    <w:link w:val="Heading8Char"/>
    <w:uiPriority w:val="9"/>
    <w:semiHidden/>
    <w:unhideWhenUsed/>
    <w:qFormat/>
    <w:rsid w:val="00B314D6"/>
    <w:pPr>
      <w:keepNext/>
      <w:keepLines/>
      <w:spacing w:before="200"/>
      <w:outlineLvl w:val="7"/>
    </w:pPr>
    <w:rPr>
      <w:rFonts w:ascii="Calibri" w:hAnsi="Calibri"/>
      <w:color w:val="404040"/>
      <w:sz w:val="20"/>
    </w:rPr>
  </w:style>
  <w:style w:type="paragraph" w:styleId="Heading9">
    <w:name w:val="heading 9"/>
    <w:basedOn w:val="Normal"/>
    <w:next w:val="Normal"/>
    <w:link w:val="Heading9Char"/>
    <w:uiPriority w:val="9"/>
    <w:semiHidden/>
    <w:unhideWhenUsed/>
    <w:qFormat/>
    <w:rsid w:val="00B314D6"/>
    <w:pPr>
      <w:keepNext/>
      <w:keepLines/>
      <w:spacing w:before="200"/>
      <w:outlineLvl w:val="8"/>
    </w:pPr>
    <w:rPr>
      <w:rFonts w:ascii="Calibr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title1 Char"/>
    <w:link w:val="Heading3"/>
    <w:uiPriority w:val="9"/>
    <w:rsid w:val="00E21BEA"/>
    <w:rPr>
      <w:rFonts w:eastAsia="Times New Roman"/>
      <w:b/>
      <w:bCs/>
      <w:sz w:val="24"/>
      <w:szCs w:val="20"/>
    </w:rPr>
  </w:style>
  <w:style w:type="character" w:customStyle="1" w:styleId="Heading1Char">
    <w:name w:val="Heading 1 Char"/>
    <w:link w:val="Heading1"/>
    <w:uiPriority w:val="9"/>
    <w:rsid w:val="00A61CAF"/>
    <w:rPr>
      <w:rFonts w:eastAsia="Times New Roman"/>
      <w:b/>
      <w:bCs/>
      <w:color w:val="365F91"/>
      <w:sz w:val="28"/>
      <w:szCs w:val="28"/>
    </w:rPr>
  </w:style>
  <w:style w:type="paragraph" w:styleId="ListParagraph">
    <w:name w:val="List Paragraph"/>
    <w:basedOn w:val="Normal"/>
    <w:uiPriority w:val="34"/>
    <w:rsid w:val="00A61CAF"/>
    <w:pPr>
      <w:contextualSpacing/>
    </w:pPr>
  </w:style>
  <w:style w:type="character" w:customStyle="1" w:styleId="Heading2Char">
    <w:name w:val="Heading 2 Char"/>
    <w:link w:val="Heading2"/>
    <w:uiPriority w:val="9"/>
    <w:rsid w:val="00E21BEA"/>
    <w:rPr>
      <w:rFonts w:eastAsia="Times New Roman" w:cs="Times New Roman"/>
      <w:b/>
      <w:bCs/>
      <w:sz w:val="26"/>
      <w:szCs w:val="26"/>
      <w:u w:val="single"/>
      <w:lang w:eastAsia="en-US"/>
    </w:rPr>
  </w:style>
  <w:style w:type="character" w:customStyle="1" w:styleId="Heading4Char">
    <w:name w:val="Heading 4 Char"/>
    <w:link w:val="Heading4"/>
    <w:uiPriority w:val="9"/>
    <w:rsid w:val="00A61CAF"/>
    <w:rPr>
      <w:rFonts w:eastAsia="Times New Roman" w:cs="Times New Roman"/>
      <w:b/>
      <w:bCs/>
      <w:i/>
      <w:iCs/>
      <w:lang w:eastAsia="en-US"/>
    </w:rPr>
  </w:style>
  <w:style w:type="character" w:customStyle="1" w:styleId="Heading5Char">
    <w:name w:val="Heading 5 Char"/>
    <w:link w:val="Heading5"/>
    <w:uiPriority w:val="9"/>
    <w:rsid w:val="00A61CAF"/>
    <w:rPr>
      <w:rFonts w:eastAsia="Times New Roman" w:cs="Times New Roman"/>
      <w:lang w:eastAsia="en-US"/>
    </w:rPr>
  </w:style>
  <w:style w:type="character" w:customStyle="1" w:styleId="Heading6Char">
    <w:name w:val="Heading 6 Char"/>
    <w:link w:val="Heading6"/>
    <w:uiPriority w:val="9"/>
    <w:semiHidden/>
    <w:rsid w:val="00DF1075"/>
    <w:rPr>
      <w:rFonts w:ascii="Calibri" w:eastAsia="Times New Roman" w:hAnsi="Calibri" w:cs="Times New Roman"/>
      <w:i/>
      <w:iCs/>
      <w:color w:val="34393D"/>
    </w:rPr>
  </w:style>
  <w:style w:type="character" w:customStyle="1" w:styleId="Heading7Char">
    <w:name w:val="Heading 7 Char"/>
    <w:link w:val="Heading7"/>
    <w:uiPriority w:val="9"/>
    <w:semiHidden/>
    <w:rsid w:val="00B314D6"/>
    <w:rPr>
      <w:rFonts w:ascii="Calibri" w:eastAsia="Times New Roman" w:hAnsi="Calibri" w:cs="Times New Roman"/>
      <w:i/>
      <w:iCs/>
      <w:color w:val="404040"/>
    </w:rPr>
  </w:style>
  <w:style w:type="character" w:customStyle="1" w:styleId="Heading8Char">
    <w:name w:val="Heading 8 Char"/>
    <w:link w:val="Heading8"/>
    <w:uiPriority w:val="9"/>
    <w:semiHidden/>
    <w:rsid w:val="00B314D6"/>
    <w:rPr>
      <w:rFonts w:ascii="Calibri" w:eastAsia="Times New Roman" w:hAnsi="Calibri" w:cs="Times New Roman"/>
      <w:color w:val="404040"/>
      <w:sz w:val="20"/>
      <w:szCs w:val="20"/>
    </w:rPr>
  </w:style>
  <w:style w:type="character" w:customStyle="1" w:styleId="Heading9Char">
    <w:name w:val="Heading 9 Char"/>
    <w:link w:val="Heading9"/>
    <w:uiPriority w:val="9"/>
    <w:semiHidden/>
    <w:rsid w:val="00B314D6"/>
    <w:rPr>
      <w:rFonts w:ascii="Calibri" w:eastAsia="Times New Roman" w:hAnsi="Calibri" w:cs="Times New Roman"/>
      <w:i/>
      <w:iCs/>
      <w:color w:val="404040"/>
      <w:sz w:val="20"/>
      <w:szCs w:val="20"/>
    </w:rPr>
  </w:style>
  <w:style w:type="paragraph" w:styleId="TOC2">
    <w:name w:val="toc 2"/>
    <w:basedOn w:val="Normal"/>
    <w:next w:val="Normal"/>
    <w:autoRedefine/>
    <w:uiPriority w:val="39"/>
    <w:semiHidden/>
    <w:unhideWhenUsed/>
    <w:qFormat/>
    <w:rsid w:val="00B314D6"/>
    <w:pPr>
      <w:spacing w:after="100"/>
      <w:ind w:left="220"/>
    </w:pPr>
  </w:style>
  <w:style w:type="paragraph" w:styleId="TOC3">
    <w:name w:val="toc 3"/>
    <w:basedOn w:val="Normal"/>
    <w:next w:val="Normal"/>
    <w:autoRedefine/>
    <w:uiPriority w:val="39"/>
    <w:semiHidden/>
    <w:unhideWhenUsed/>
    <w:qFormat/>
    <w:rsid w:val="00B314D6"/>
    <w:pPr>
      <w:spacing w:after="100"/>
      <w:ind w:left="440"/>
    </w:pPr>
  </w:style>
  <w:style w:type="paragraph" w:styleId="TOCHeading">
    <w:name w:val="TOC Heading"/>
    <w:basedOn w:val="Heading1"/>
    <w:next w:val="Normal"/>
    <w:uiPriority w:val="39"/>
    <w:semiHidden/>
    <w:unhideWhenUsed/>
    <w:qFormat/>
    <w:rsid w:val="00B314D6"/>
    <w:pPr>
      <w:spacing w:before="480"/>
      <w:outlineLvl w:val="9"/>
    </w:pPr>
    <w:rPr>
      <w:color w:val="4F565B"/>
    </w:rPr>
  </w:style>
  <w:style w:type="paragraph" w:customStyle="1" w:styleId="04Maintext">
    <w:name w:val="04. Main text"/>
    <w:basedOn w:val="Normal"/>
    <w:link w:val="04MaintextChar"/>
    <w:qFormat/>
    <w:rsid w:val="008C4FE3"/>
    <w:pPr>
      <w:jc w:val="both"/>
    </w:pPr>
    <w:rPr>
      <w:rFonts w:ascii="Calibri" w:eastAsia="Calibri" w:hAnsi="Calibri"/>
      <w:color w:val="404040"/>
      <w:sz w:val="22"/>
    </w:rPr>
  </w:style>
  <w:style w:type="character" w:customStyle="1" w:styleId="04MaintextChar">
    <w:name w:val="04. Main text Char"/>
    <w:link w:val="04Maintext"/>
    <w:rsid w:val="008C4FE3"/>
    <w:rPr>
      <w:color w:val="404040"/>
      <w:sz w:val="22"/>
      <w:lang w:eastAsia="en-US"/>
    </w:rPr>
  </w:style>
  <w:style w:type="paragraph" w:customStyle="1" w:styleId="02Subtitle">
    <w:name w:val="02. Subtitle"/>
    <w:basedOn w:val="Heading2"/>
    <w:next w:val="04Maintext"/>
    <w:link w:val="02SubtitleChar"/>
    <w:qFormat/>
    <w:rsid w:val="008D64E0"/>
    <w:pPr>
      <w:keepLines w:val="0"/>
      <w:widowControl w:val="0"/>
      <w:autoSpaceDE w:val="0"/>
      <w:autoSpaceDN w:val="0"/>
      <w:adjustRightInd w:val="0"/>
    </w:pPr>
    <w:rPr>
      <w:iCs/>
      <w:color w:val="00366B"/>
      <w:position w:val="3"/>
      <w:sz w:val="28"/>
      <w:szCs w:val="28"/>
      <w:u w:val="none"/>
    </w:rPr>
  </w:style>
  <w:style w:type="character" w:customStyle="1" w:styleId="02SubtitleChar">
    <w:name w:val="02. Subtitle Char"/>
    <w:link w:val="02Subtitle"/>
    <w:rsid w:val="008D64E0"/>
    <w:rPr>
      <w:rFonts w:eastAsia="Times New Roman" w:cs="Calibri"/>
      <w:b/>
      <w:bCs/>
      <w:iCs/>
      <w:color w:val="00366B"/>
      <w:position w:val="3"/>
      <w:sz w:val="28"/>
      <w:szCs w:val="28"/>
      <w:lang w:eastAsia="en-US"/>
    </w:rPr>
  </w:style>
  <w:style w:type="paragraph" w:customStyle="1" w:styleId="07Bluebulletpoints">
    <w:name w:val="07. Blue bullet points"/>
    <w:basedOn w:val="Normal"/>
    <w:link w:val="07BluebulletpointsChar"/>
    <w:rsid w:val="00DF1075"/>
    <w:pPr>
      <w:numPr>
        <w:numId w:val="1"/>
      </w:numPr>
    </w:pPr>
    <w:rPr>
      <w:rFonts w:ascii="Calibri" w:eastAsia="Calibri" w:hAnsi="Calibri"/>
      <w:color w:val="00366B"/>
      <w:sz w:val="20"/>
      <w:szCs w:val="26"/>
    </w:rPr>
  </w:style>
  <w:style w:type="character" w:customStyle="1" w:styleId="07BluebulletpointsChar">
    <w:name w:val="07. Blue bullet points Char"/>
    <w:link w:val="07Bluebulletpoints"/>
    <w:rsid w:val="00DF1075"/>
    <w:rPr>
      <w:color w:val="00366B"/>
      <w:szCs w:val="26"/>
      <w:lang w:eastAsia="en-US"/>
    </w:rPr>
  </w:style>
  <w:style w:type="paragraph" w:customStyle="1" w:styleId="06Bulletpoints">
    <w:name w:val="06. Bullet points"/>
    <w:basedOn w:val="ListParagraph"/>
    <w:link w:val="06BulletpointsChar"/>
    <w:qFormat/>
    <w:rsid w:val="00A35D94"/>
    <w:pPr>
      <w:numPr>
        <w:numId w:val="2"/>
      </w:numPr>
      <w:spacing w:before="120" w:after="120"/>
      <w:contextualSpacing w:val="0"/>
    </w:pPr>
    <w:rPr>
      <w:rFonts w:ascii="Calibri" w:hAnsi="Calibri"/>
      <w:color w:val="404040"/>
      <w:sz w:val="22"/>
    </w:rPr>
  </w:style>
  <w:style w:type="character" w:customStyle="1" w:styleId="06BulletpointsChar">
    <w:name w:val="06. Bullet points Char"/>
    <w:link w:val="06Bulletpoints"/>
    <w:rsid w:val="00A35D94"/>
    <w:rPr>
      <w:rFonts w:eastAsia="Times New Roman"/>
      <w:color w:val="404040"/>
      <w:sz w:val="22"/>
      <w:lang w:eastAsia="en-US"/>
    </w:rPr>
  </w:style>
  <w:style w:type="paragraph" w:customStyle="1" w:styleId="09Header">
    <w:name w:val="09. Header"/>
    <w:basedOn w:val="Normal"/>
    <w:link w:val="09HeaderChar"/>
    <w:qFormat/>
    <w:rsid w:val="00DF1075"/>
    <w:pPr>
      <w:ind w:left="142"/>
    </w:pPr>
    <w:rPr>
      <w:rFonts w:ascii="Calibri" w:eastAsia="Calibri" w:hAnsi="Calibri"/>
      <w:b/>
      <w:color w:val="00366B"/>
      <w:sz w:val="16"/>
      <w:szCs w:val="16"/>
    </w:rPr>
  </w:style>
  <w:style w:type="character" w:customStyle="1" w:styleId="09HeaderChar">
    <w:name w:val="09. Header Char"/>
    <w:link w:val="09Header"/>
    <w:rsid w:val="00DF1075"/>
    <w:rPr>
      <w:b/>
      <w:color w:val="00366B"/>
      <w:sz w:val="16"/>
      <w:szCs w:val="16"/>
    </w:rPr>
  </w:style>
  <w:style w:type="paragraph" w:customStyle="1" w:styleId="08Hyperlinks">
    <w:name w:val="08. Hyperlinks"/>
    <w:basedOn w:val="04Maintext"/>
    <w:link w:val="08HyperlinksChar"/>
    <w:qFormat/>
    <w:rsid w:val="00B314D6"/>
    <w:rPr>
      <w:color w:val="0000FF"/>
      <w:u w:val="single"/>
    </w:rPr>
  </w:style>
  <w:style w:type="character" w:customStyle="1" w:styleId="08HyperlinksChar">
    <w:name w:val="08. Hyperlinks Char"/>
    <w:link w:val="08Hyperlinks"/>
    <w:rsid w:val="00B314D6"/>
    <w:rPr>
      <w:color w:val="0000FF"/>
      <w:sz w:val="22"/>
      <w:u w:val="single"/>
      <w:lang w:eastAsia="en-US"/>
    </w:rPr>
  </w:style>
  <w:style w:type="paragraph" w:customStyle="1" w:styleId="01StandardTitle">
    <w:name w:val="01. Standard Title"/>
    <w:next w:val="04Maintext"/>
    <w:link w:val="01StandardTitleChar"/>
    <w:qFormat/>
    <w:rsid w:val="00B314D6"/>
    <w:pPr>
      <w:spacing w:after="360" w:line="360" w:lineRule="auto"/>
      <w:ind w:right="-125"/>
    </w:pPr>
    <w:rPr>
      <w:b/>
      <w:color w:val="00366B"/>
      <w:sz w:val="40"/>
      <w:szCs w:val="40"/>
      <w:lang w:eastAsia="en-US"/>
    </w:rPr>
  </w:style>
  <w:style w:type="character" w:customStyle="1" w:styleId="01StandardTitleChar">
    <w:name w:val="01. Standard Title Char"/>
    <w:link w:val="01StandardTitle"/>
    <w:rsid w:val="00B314D6"/>
    <w:rPr>
      <w:b/>
      <w:color w:val="00366B"/>
      <w:sz w:val="40"/>
      <w:szCs w:val="40"/>
      <w:lang w:val="en-GB" w:eastAsia="en-US" w:bidi="ar-SA"/>
    </w:rPr>
  </w:style>
  <w:style w:type="paragraph" w:customStyle="1" w:styleId="05BoldBlue">
    <w:name w:val="05. Bold Blue"/>
    <w:basedOn w:val="04Maintext"/>
    <w:link w:val="05BoldBlueChar"/>
    <w:rsid w:val="00DF1075"/>
    <w:rPr>
      <w:b/>
      <w:color w:val="00366B"/>
    </w:rPr>
  </w:style>
  <w:style w:type="character" w:customStyle="1" w:styleId="05BoldBlueChar">
    <w:name w:val="05. Bold Blue Char"/>
    <w:link w:val="05BoldBlue"/>
    <w:rsid w:val="00DF1075"/>
    <w:rPr>
      <w:b/>
      <w:color w:val="00366B"/>
      <w:sz w:val="22"/>
      <w:lang w:eastAsia="en-US"/>
    </w:rPr>
  </w:style>
  <w:style w:type="paragraph" w:customStyle="1" w:styleId="03Subtitle2">
    <w:name w:val="03. Subtitle 2"/>
    <w:link w:val="03Subtitle2Char"/>
    <w:qFormat/>
    <w:rsid w:val="00B314D6"/>
    <w:pPr>
      <w:spacing w:before="240" w:after="120" w:line="276" w:lineRule="auto"/>
      <w:outlineLvl w:val="1"/>
    </w:pPr>
    <w:rPr>
      <w:b/>
      <w:color w:val="00366B"/>
      <w:sz w:val="22"/>
      <w:szCs w:val="40"/>
      <w:u w:val="single"/>
      <w:lang w:eastAsia="en-US"/>
    </w:rPr>
  </w:style>
  <w:style w:type="character" w:customStyle="1" w:styleId="03Subtitle2Char">
    <w:name w:val="03. Subtitle 2 Char"/>
    <w:link w:val="03Subtitle2"/>
    <w:rsid w:val="00B314D6"/>
    <w:rPr>
      <w:b/>
      <w:color w:val="00366B"/>
      <w:sz w:val="22"/>
      <w:szCs w:val="40"/>
      <w:u w:val="single"/>
      <w:lang w:val="en-GB" w:eastAsia="en-US" w:bidi="ar-SA"/>
    </w:rPr>
  </w:style>
  <w:style w:type="paragraph" w:styleId="Header">
    <w:name w:val="header"/>
    <w:basedOn w:val="Normal"/>
    <w:link w:val="HeaderChar"/>
    <w:unhideWhenUsed/>
    <w:rsid w:val="00A611D6"/>
    <w:pPr>
      <w:tabs>
        <w:tab w:val="center" w:pos="4513"/>
        <w:tab w:val="right" w:pos="9026"/>
      </w:tabs>
    </w:pPr>
  </w:style>
  <w:style w:type="character" w:customStyle="1" w:styleId="HeaderChar">
    <w:name w:val="Header Char"/>
    <w:basedOn w:val="DefaultParagraphFont"/>
    <w:link w:val="Header"/>
    <w:uiPriority w:val="99"/>
    <w:semiHidden/>
    <w:rsid w:val="00A611D6"/>
  </w:style>
  <w:style w:type="paragraph" w:styleId="Footer">
    <w:name w:val="footer"/>
    <w:basedOn w:val="Normal"/>
    <w:link w:val="FooterChar"/>
    <w:uiPriority w:val="99"/>
    <w:unhideWhenUsed/>
    <w:rsid w:val="00A611D6"/>
    <w:pPr>
      <w:tabs>
        <w:tab w:val="center" w:pos="4513"/>
        <w:tab w:val="right" w:pos="9026"/>
      </w:tabs>
    </w:pPr>
  </w:style>
  <w:style w:type="character" w:customStyle="1" w:styleId="FooterChar">
    <w:name w:val="Footer Char"/>
    <w:basedOn w:val="DefaultParagraphFont"/>
    <w:link w:val="Footer"/>
    <w:uiPriority w:val="99"/>
    <w:rsid w:val="00A611D6"/>
  </w:style>
  <w:style w:type="paragraph" w:styleId="BalloonText">
    <w:name w:val="Balloon Text"/>
    <w:basedOn w:val="Normal"/>
    <w:link w:val="BalloonTextChar"/>
    <w:uiPriority w:val="99"/>
    <w:semiHidden/>
    <w:unhideWhenUsed/>
    <w:rsid w:val="00A611D6"/>
    <w:rPr>
      <w:rFonts w:ascii="Tahoma" w:eastAsia="Calibri" w:hAnsi="Tahoma"/>
      <w:sz w:val="16"/>
      <w:szCs w:val="16"/>
    </w:rPr>
  </w:style>
  <w:style w:type="character" w:customStyle="1" w:styleId="BalloonTextChar">
    <w:name w:val="Balloon Text Char"/>
    <w:link w:val="BalloonText"/>
    <w:uiPriority w:val="99"/>
    <w:semiHidden/>
    <w:rsid w:val="00A611D6"/>
    <w:rPr>
      <w:rFonts w:ascii="Tahoma" w:hAnsi="Tahoma" w:cs="Tahoma"/>
      <w:sz w:val="16"/>
      <w:szCs w:val="16"/>
    </w:rPr>
  </w:style>
  <w:style w:type="paragraph" w:customStyle="1" w:styleId="05numberedbullets">
    <w:name w:val="05. numbered bullets"/>
    <w:basedOn w:val="04Maintext"/>
    <w:link w:val="05numberedbulletsChar"/>
    <w:qFormat/>
    <w:rsid w:val="00B314D6"/>
    <w:pPr>
      <w:numPr>
        <w:ilvl w:val="1"/>
        <w:numId w:val="3"/>
      </w:numPr>
      <w:spacing w:before="120" w:after="120"/>
    </w:pPr>
  </w:style>
  <w:style w:type="table" w:customStyle="1" w:styleId="Style2">
    <w:name w:val="Style2"/>
    <w:basedOn w:val="TableNormal"/>
    <w:uiPriority w:val="99"/>
    <w:qFormat/>
    <w:rsid w:val="00A1731B"/>
    <w:pPr>
      <w:spacing w:before="120" w:after="120"/>
      <w:textboxTightWrap w:val="allLines"/>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rFonts w:ascii="Calibri" w:hAnsi="Calibri"/>
        <w:color w:val="000000"/>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6BFD8"/>
      </w:tcPr>
    </w:tblStylePr>
  </w:style>
  <w:style w:type="character" w:customStyle="1" w:styleId="05numberedbulletsChar">
    <w:name w:val="05. numbered bullets Char"/>
    <w:basedOn w:val="04MaintextChar"/>
    <w:link w:val="05numberedbullets"/>
    <w:rsid w:val="00B314D6"/>
    <w:rPr>
      <w:color w:val="404040"/>
      <w:sz w:val="22"/>
      <w:lang w:eastAsia="en-US"/>
    </w:rPr>
  </w:style>
  <w:style w:type="table" w:customStyle="1" w:styleId="Style1">
    <w:name w:val="Style1"/>
    <w:basedOn w:val="TableNormal"/>
    <w:uiPriority w:val="99"/>
    <w:qFormat/>
    <w:rsid w:val="00C752CE"/>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07Tabletext">
    <w:name w:val="07. Table text"/>
    <w:basedOn w:val="Normal"/>
    <w:link w:val="07TabletextChar"/>
    <w:qFormat/>
    <w:rsid w:val="00B314D6"/>
    <w:pPr>
      <w:spacing w:before="120" w:after="120"/>
    </w:pPr>
    <w:rPr>
      <w:rFonts w:ascii="Calibri" w:eastAsia="Calibri" w:hAnsi="Calibri"/>
      <w:color w:val="404040"/>
    </w:rPr>
  </w:style>
  <w:style w:type="table" w:styleId="TableGrid">
    <w:name w:val="Table Grid"/>
    <w:basedOn w:val="TableNormal"/>
    <w:uiPriority w:val="59"/>
    <w:rsid w:val="00A17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7TabletextChar">
    <w:name w:val="07. Table text Char"/>
    <w:basedOn w:val="04MaintextChar"/>
    <w:link w:val="07Tabletext"/>
    <w:rsid w:val="00B314D6"/>
    <w:rPr>
      <w:color w:val="404040"/>
      <w:sz w:val="22"/>
      <w:lang w:eastAsia="en-US"/>
    </w:rPr>
  </w:style>
  <w:style w:type="paragraph" w:styleId="BodyText2">
    <w:name w:val="Body Text 2"/>
    <w:basedOn w:val="Normal"/>
    <w:link w:val="BodyText2Char"/>
    <w:rsid w:val="009E129A"/>
    <w:pPr>
      <w:jc w:val="both"/>
    </w:pPr>
  </w:style>
  <w:style w:type="character" w:customStyle="1" w:styleId="BodyText2Char">
    <w:name w:val="Body Text 2 Char"/>
    <w:link w:val="BodyText2"/>
    <w:rsid w:val="009E129A"/>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CA082B"/>
    <w:rPr>
      <w:color w:val="0000FF" w:themeColor="hyperlink"/>
      <w:u w:val="single"/>
    </w:rPr>
  </w:style>
  <w:style w:type="character" w:styleId="FollowedHyperlink">
    <w:name w:val="FollowedHyperlink"/>
    <w:basedOn w:val="DefaultParagraphFont"/>
    <w:uiPriority w:val="99"/>
    <w:semiHidden/>
    <w:unhideWhenUsed/>
    <w:rsid w:val="00D211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26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horntons-investment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n\Desktop\Standar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1878C-D157-4DDB-9E65-A8672560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document template</Template>
  <TotalTime>0</TotalTime>
  <Pages>7</Pages>
  <Words>2083</Words>
  <Characters>11875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Thorntons Law LLP</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katien</dc:creator>
  <cp:lastModifiedBy>Karen Slupinski</cp:lastModifiedBy>
  <cp:revision>2</cp:revision>
  <cp:lastPrinted>2013-05-21T10:45:00Z</cp:lastPrinted>
  <dcterms:created xsi:type="dcterms:W3CDTF">2018-03-08T09:34:00Z</dcterms:created>
  <dcterms:modified xsi:type="dcterms:W3CDTF">2018-03-08T09:34:00Z</dcterms:modified>
</cp:coreProperties>
</file>